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77470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100965</wp:posOffset>
            </wp:positionV>
            <wp:extent cx="15773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3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02" w:lineRule="exact"/>
        <w:rPr>
          <w:sz w:val="24"/>
          <w:szCs w:val="24"/>
          <w:color w:val="auto"/>
        </w:rPr>
      </w:pPr>
    </w:p>
    <w:p>
      <w:pPr>
        <w:ind w:left="420" w:hanging="411"/>
        <w:spacing w:after="0" w:line="273" w:lineRule="auto"/>
        <w:tabs>
          <w:tab w:leader="none" w:pos="42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REGISTRATION STATEMENT PURSUANT TO SECTION 12(b) OR (g) OF THE SECURITIES EXCHANGE ACT OF 1934</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2" w:lineRule="exact"/>
        <w:rPr>
          <w:sz w:val="24"/>
          <w:szCs w:val="24"/>
          <w:color w:val="auto"/>
        </w:rPr>
      </w:pPr>
    </w:p>
    <w:p>
      <w:pPr>
        <w:ind w:left="420" w:hanging="411"/>
        <w:spacing w:after="0" w:line="273" w:lineRule="auto"/>
        <w:tabs>
          <w:tab w:leader="none" w:pos="42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2025.</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2" w:lineRule="exact"/>
        <w:rPr>
          <w:sz w:val="24"/>
          <w:szCs w:val="24"/>
          <w:color w:val="auto"/>
        </w:rPr>
      </w:pPr>
    </w:p>
    <w:p>
      <w:pPr>
        <w:ind w:left="420" w:hanging="412"/>
        <w:spacing w:after="0" w:line="273" w:lineRule="auto"/>
        <w:tabs>
          <w:tab w:leader="none" w:pos="420" w:val="left"/>
        </w:tabs>
        <w:numPr>
          <w:ilvl w:val="0"/>
          <w:numId w:val="3"/>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2" w:lineRule="exact"/>
        <w:rPr>
          <w:sz w:val="24"/>
          <w:szCs w:val="24"/>
          <w:color w:val="auto"/>
        </w:rPr>
      </w:pPr>
    </w:p>
    <w:p>
      <w:pPr>
        <w:ind w:left="420" w:hanging="412"/>
        <w:spacing w:after="0" w:line="273" w:lineRule="auto"/>
        <w:tabs>
          <w:tab w:leader="none" w:pos="420" w:val="left"/>
        </w:tabs>
        <w:numPr>
          <w:ilvl w:val="0"/>
          <w:numId w:val="4"/>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SHELL COMPANY REPORT PURSUANT TO SECTION 13 OR 15(d) OF THE SECURITIES EXCHANGE ACT OF 1934</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event requiring this shell company report</w:t>
      </w:r>
    </w:p>
    <w:p>
      <w:pPr>
        <w:spacing w:after="0" w:line="100" w:lineRule="exact"/>
        <w:rPr>
          <w:sz w:val="24"/>
          <w:szCs w:val="24"/>
          <w:color w:val="auto"/>
        </w:rPr>
      </w:pPr>
    </w:p>
    <w:p>
      <w:pPr>
        <w:ind w:left="3520"/>
        <w:spacing w:after="0"/>
        <w:tabs>
          <w:tab w:leader="none" w:pos="624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001-38587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99060</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Aurora Mobile Limited</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86360</wp:posOffset>
            </wp:positionV>
            <wp:extent cx="15773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(Translation of Registrant’s name into English)</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Cayman Islands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(Jurisdiction of incorporation or organization)</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31/F, Block 12-A, Shenzhen Bay Science and Technology Ecological Park,</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Nanshan District, Shenzhen, Guangdong 518057</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People’s Republic of China</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Shan-Nen Bong, Chief Financial Officer</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31/F, Block 12-A, Shenzhen Bay Science and Technology Ecological Park,</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Nanshan District, Shenzhen, Guangdong 518057</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People’s Republic of China</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Phone: +86 755-8388-1462</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Email: bongsn@jiguang.cn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(Name, Telephone, Email and/or Facsimile number and Address of Company Contact Person)</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or to be registered pursuant to Section 12(b) of the Act.</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Title of Each Class</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Trading Symbol</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Name of Each Exchange On Which Registered</w:t>
            </w:r>
          </w:p>
        </w:tc>
      </w:tr>
      <w:tr>
        <w:trPr>
          <w:trHeight w:val="180"/>
        </w:trPr>
        <w:tc>
          <w:tcPr>
            <w:tcW w:w="39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American depositary shares, every 3 of which represent</w:t>
            </w:r>
          </w:p>
        </w:tc>
        <w:tc>
          <w:tcPr>
            <w:tcW w:w="200" w:type="dxa"/>
            <w:vAlign w:val="bottom"/>
          </w:tcPr>
          <w:p>
            <w:pPr>
              <w:spacing w:after="0"/>
              <w:rPr>
                <w:sz w:val="15"/>
                <w:szCs w:val="15"/>
                <w:color w:val="auto"/>
              </w:rPr>
            </w:pPr>
          </w:p>
        </w:tc>
        <w:tc>
          <w:tcPr>
            <w:tcW w:w="16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7"/>
              </w:rPr>
              <w:t>JG</w:t>
            </w:r>
          </w:p>
        </w:tc>
        <w:tc>
          <w:tcPr>
            <w:tcW w:w="180" w:type="dxa"/>
            <w:vAlign w:val="bottom"/>
          </w:tcPr>
          <w:p>
            <w:pPr>
              <w:spacing w:after="0"/>
              <w:rPr>
                <w:sz w:val="15"/>
                <w:szCs w:val="15"/>
                <w:color w:val="auto"/>
              </w:rPr>
            </w:pPr>
          </w:p>
        </w:tc>
        <w:tc>
          <w:tcPr>
            <w:tcW w:w="39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The Nasdaq Stock Market LLC (The Nasdaq Capital</w:t>
            </w:r>
          </w:p>
        </w:tc>
      </w:tr>
      <w:tr>
        <w:trPr>
          <w:trHeight w:val="212"/>
        </w:trPr>
        <w:tc>
          <w:tcPr>
            <w:tcW w:w="3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40 Class A common shares</w:t>
            </w: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Market)</w:t>
            </w:r>
          </w:p>
        </w:tc>
      </w:tr>
      <w:tr>
        <w:trPr>
          <w:trHeight w:val="501"/>
        </w:trPr>
        <w:tc>
          <w:tcPr>
            <w:tcW w:w="3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Class A common shares, par value US$0.0001 per share</w:t>
            </w:r>
            <w:r>
              <w:rPr>
                <w:rFonts w:ascii="Times New Roman" w:cs="Times New Roman" w:eastAsia="Times New Roman" w:hAnsi="Times New Roman"/>
                <w:sz w:val="24"/>
                <w:szCs w:val="24"/>
                <w:b w:val="1"/>
                <w:bCs w:val="1"/>
                <w:color w:val="auto"/>
                <w:vertAlign w:val="superscript"/>
              </w:rPr>
              <w:t>*</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11430</wp:posOffset>
            </wp:positionV>
            <wp:extent cx="15684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92" w:lineRule="exact"/>
        <w:rPr>
          <w:sz w:val="24"/>
          <w:szCs w:val="24"/>
          <w:color w:val="auto"/>
        </w:rPr>
      </w:pPr>
    </w:p>
    <w:p>
      <w:pPr>
        <w:ind w:left="340" w:hanging="332"/>
        <w:spacing w:after="0"/>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for trading, but only in connection with the listing on the Nasdaq Capital Market of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414655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or to be registered pursuant to Section 12(g) of the Act.</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71755</wp:posOffset>
            </wp:positionV>
            <wp:extent cx="15773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for which there is a reporting obligation pursuant to Section 15(d) of the Act.</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71755</wp:posOffset>
            </wp:positionV>
            <wp:extent cx="15773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8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Indicate the number of outstanding shares of each of the issuer’s classes of capital or common stock as of the close of the period covered by the annual report:</w:t>
      </w:r>
    </w:p>
    <w:p>
      <w:pPr>
        <w:spacing w:after="0" w:line="2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6"/>
          <w:szCs w:val="16"/>
          <w:color w:val="auto"/>
        </w:rPr>
        <w:t>As of December 31, 2025, there were 79,971,355 common shares outstanding, par value of US$0.0001 per share, being the sum of 62,971,166 Class A common shares (excluding treasury shares), par value of US$0.0001 per share and 17,000,189 Class B common shares, par value of US$0.0001 per share.</w:t>
      </w:r>
    </w:p>
    <w:p>
      <w:pPr>
        <w:spacing w:after="0" w:line="200" w:lineRule="exact"/>
        <w:rPr>
          <w:sz w:val="20"/>
          <w:szCs w:val="20"/>
          <w:color w:val="auto"/>
        </w:rPr>
      </w:pPr>
    </w:p>
    <w:p>
      <w:pPr>
        <w:spacing w:after="0" w:line="184" w:lineRule="exact"/>
        <w:tabs>
          <w:tab w:leader="none" w:pos="8380" w:val="left"/>
        </w:tabs>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w:t>
      </w:r>
    </w:p>
    <w:p>
      <w:pPr>
        <w:spacing w:after="0" w:line="136"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4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Note - Checking the box above will not relieve any registrant required to file reports pursuant to Section 13 or 15 (d) of the Securities Exchange Act of 1934 from their obligations under those Sections.</w:t>
      </w:r>
    </w:p>
    <w:p>
      <w:pPr>
        <w:spacing w:after="0" w:line="29" w:lineRule="exact"/>
        <w:rPr>
          <w:sz w:val="20"/>
          <w:szCs w:val="20"/>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49" w:lineRule="exact"/>
        <w:rPr>
          <w:sz w:val="20"/>
          <w:szCs w:val="20"/>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an emerging growth company.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definition of “large accelerated filer,” “accelerated filer,” and “emerging growth company” in Rule 12b-2 of the Exchange Act.</w:t>
      </w:r>
    </w:p>
    <w:p>
      <w:pPr>
        <w:sectPr>
          <w:pgSz w:w="11900" w:h="16838" w:orient="portrait"/>
          <w:cols w:equalWidth="0" w:num="1">
            <w:col w:w="9920"/>
          </w:cols>
          <w:pgMar w:left="980" w:top="513" w:right="999" w:bottom="1440" w:gutter="0" w:footer="0" w:header="0"/>
        </w:sectPr>
      </w:pPr>
    </w:p>
    <w:p>
      <w:pPr>
        <w:spacing w:after="0" w:line="105" w:lineRule="exact"/>
        <w:rPr>
          <w:sz w:val="20"/>
          <w:szCs w:val="20"/>
          <w:color w:val="auto"/>
        </w:rPr>
      </w:pPr>
    </w:p>
    <w:p>
      <w:pPr>
        <w:ind w:right="400"/>
        <w:spacing w:after="0" w:line="298" w:lineRule="auto"/>
        <w:rPr>
          <w:sz w:val="20"/>
          <w:szCs w:val="20"/>
          <w:color w:val="auto"/>
        </w:rPr>
      </w:pPr>
      <w:r>
        <w:rPr>
          <w:rFonts w:ascii="Times New Roman" w:cs="Times New Roman" w:eastAsia="Times New Roman" w:hAnsi="Times New Roman"/>
          <w:sz w:val="16"/>
          <w:szCs w:val="16"/>
          <w:color w:val="auto"/>
        </w:rPr>
        <w:t>Large accelerated filer Non-accelerated filer</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Accelerated filer</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0"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1" w:lineRule="exact"/>
        <w:rPr>
          <w:sz w:val="20"/>
          <w:szCs w:val="20"/>
          <w:color w:val="auto"/>
        </w:rPr>
      </w:pPr>
    </w:p>
    <w:p>
      <w:pPr>
        <w:sectPr>
          <w:pgSz w:w="11900" w:h="16838" w:orient="portrait"/>
          <w:cols w:equalWidth="0" w:num="4">
            <w:col w:w="1860" w:space="720"/>
            <w:col w:w="2300" w:space="720"/>
            <w:col w:w="3060" w:space="720"/>
            <w:col w:w="540"/>
          </w:cols>
          <w:pgMar w:left="980" w:top="513" w:right="999" w:bottom="1440" w:gutter="0" w:footer="0" w:header="0"/>
          <w:type w:val="continuous"/>
        </w:sect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MS PGothic" w:cs="MS PGothic" w:eastAsia="MS PGothic" w:hAnsi="MS PGothic"/>
          <w:sz w:val="16"/>
          <w:szCs w:val="16"/>
          <w:color w:val="auto"/>
        </w:rPr>
        <w:t>☐</w:t>
      </w:r>
    </w:p>
    <w:p>
      <w:pPr>
        <w:spacing w:after="0" w:line="49" w:lineRule="exact"/>
        <w:rPr>
          <w:sz w:val="20"/>
          <w:szCs w:val="20"/>
          <w:color w:val="auto"/>
        </w:rPr>
      </w:pPr>
    </w:p>
    <w:p>
      <w:pPr>
        <w:ind w:left="340" w:hanging="332"/>
        <w:spacing w:after="0" w:line="298" w:lineRule="auto"/>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29" w:lineRule="exact"/>
        <w:rPr>
          <w:sz w:val="20"/>
          <w:szCs w:val="20"/>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4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48"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40" w:type="dxa"/>
            <w:vAlign w:val="bottom"/>
            <w:vMerge w:val="restart"/>
          </w:tcPr>
          <w:p>
            <w:pPr>
              <w:spacing w:after="0" w:line="184" w:lineRule="exact"/>
              <w:rPr>
                <w:sz w:val="20"/>
                <w:szCs w:val="20"/>
                <w:color w:val="auto"/>
              </w:rPr>
            </w:pPr>
            <w:r>
              <w:rPr>
                <w:rFonts w:ascii="Times New Roman" w:cs="Times New Roman" w:eastAsia="Times New Roman" w:hAnsi="Times New Roman"/>
                <w:sz w:val="16"/>
                <w:szCs w:val="16"/>
                <w:color w:val="auto"/>
              </w:rPr>
              <w:t xml:space="preserve">U.S. GAAP </w:t>
            </w:r>
            <w:r>
              <w:rPr>
                <w:rFonts w:ascii="MS PGothic" w:cs="MS PGothic" w:eastAsia="MS PGothic" w:hAnsi="MS PGothic"/>
                <w:sz w:val="16"/>
                <w:szCs w:val="16"/>
                <w:color w:val="auto"/>
              </w:rPr>
              <w:t>☒</w:t>
            </w:r>
          </w:p>
        </w:tc>
        <w:tc>
          <w:tcPr>
            <w:tcW w:w="29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International Financial Reporting</w:t>
            </w:r>
          </w:p>
        </w:tc>
        <w:tc>
          <w:tcPr>
            <w:tcW w:w="5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1640" w:type="dxa"/>
            <w:vAlign w:val="bottom"/>
            <w:vMerge w:val="continue"/>
          </w:tcPr>
          <w:p>
            <w:pPr>
              <w:spacing w:after="0"/>
              <w:rPr>
                <w:sz w:val="17"/>
                <w:szCs w:val="17"/>
                <w:color w:val="auto"/>
              </w:rPr>
            </w:pPr>
          </w:p>
        </w:tc>
        <w:tc>
          <w:tcPr>
            <w:tcW w:w="29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Standards as issued</w:t>
            </w:r>
          </w:p>
        </w:tc>
        <w:tc>
          <w:tcPr>
            <w:tcW w:w="5180" w:type="dxa"/>
            <w:vAlign w:val="bottom"/>
          </w:tcPr>
          <w:p>
            <w:pPr>
              <w:ind w:left="4640"/>
              <w:spacing w:after="0" w:line="184" w:lineRule="exact"/>
              <w:rPr>
                <w:sz w:val="20"/>
                <w:szCs w:val="20"/>
                <w:color w:val="auto"/>
              </w:rPr>
            </w:pPr>
            <w:r>
              <w:rPr>
                <w:rFonts w:ascii="Times New Roman" w:cs="Times New Roman" w:eastAsia="Times New Roman" w:hAnsi="Times New Roman"/>
                <w:sz w:val="16"/>
                <w:szCs w:val="16"/>
                <w:color w:val="auto"/>
                <w:w w:val="92"/>
              </w:rPr>
              <w:t xml:space="preserve">Other </w:t>
            </w:r>
            <w:r>
              <w:rPr>
                <w:rFonts w:ascii="MS PGothic" w:cs="MS PGothic" w:eastAsia="MS PGothic" w:hAnsi="MS PGothic"/>
                <w:sz w:val="16"/>
                <w:szCs w:val="16"/>
                <w:color w:val="auto"/>
                <w:w w:val="92"/>
              </w:rPr>
              <w:t>☐</w:t>
            </w: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p>
        </w:tc>
        <w:tc>
          <w:tcPr>
            <w:tcW w:w="29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by the International Accounting</w:t>
            </w:r>
          </w:p>
        </w:tc>
        <w:tc>
          <w:tcPr>
            <w:tcW w:w="51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10"/>
        </w:trPr>
        <w:tc>
          <w:tcPr>
            <w:tcW w:w="1640" w:type="dxa"/>
            <w:vAlign w:val="bottom"/>
          </w:tcPr>
          <w:p>
            <w:pPr>
              <w:spacing w:after="0"/>
              <w:rPr>
                <w:sz w:val="18"/>
                <w:szCs w:val="18"/>
                <w:color w:val="auto"/>
              </w:rPr>
            </w:pPr>
          </w:p>
        </w:tc>
        <w:tc>
          <w:tcPr>
            <w:tcW w:w="29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Standards Board</w:t>
            </w: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Item 17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Item 18</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this is an annual report, indicate by check mark whether the registrant is a shell company (as defined in Rule 12b-2 of the Exchange Act).</w:t>
      </w:r>
    </w:p>
    <w:p>
      <w:pPr>
        <w:spacing w:after="0" w:line="26" w:lineRule="exact"/>
        <w:rPr>
          <w:sz w:val="20"/>
          <w:szCs w:val="20"/>
          <w:color w:val="auto"/>
        </w:rPr>
      </w:pPr>
    </w:p>
    <w:p>
      <w:pPr>
        <w:ind w:left="320" w:hanging="231"/>
        <w:spacing w:after="0" w:line="184" w:lineRule="exact"/>
        <w:tabs>
          <w:tab w:leader="none" w:pos="320" w:val="left"/>
        </w:tabs>
        <w:numPr>
          <w:ilvl w:val="0"/>
          <w:numId w:val="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(APPLICABLE ONLY TO ISSUERS INVOLVED IN BANKRUPTCY PROCEEDINGS DURING THE PAST FIVE YEARS)</w:t>
      </w:r>
    </w:p>
    <w:p>
      <w:pPr>
        <w:spacing w:after="0" w:line="100"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467360</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47625</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90170</wp:posOffset>
            </wp:positionV>
            <wp:extent cx="6292215"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777"/>
        </w:trPr>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0" w:type="dxa"/>
            <w:vAlign w:val="bottom"/>
            <w:gridSpan w:val="16"/>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20" w:type="dxa"/>
            <w:vAlign w:val="bottom"/>
          </w:tcPr>
          <w:p>
            <w:pPr>
              <w:spacing w:after="0"/>
              <w:rPr>
                <w:sz w:val="24"/>
                <w:szCs w:val="24"/>
                <w:color w:val="auto"/>
              </w:rPr>
            </w:pPr>
          </w:p>
        </w:tc>
      </w:tr>
      <w:tr>
        <w:trPr>
          <w:trHeight w:val="391"/>
        </w:trPr>
        <w:tc>
          <w:tcPr>
            <w:tcW w:w="13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INTRODUCTION</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95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3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PART I</w:t>
            </w:r>
          </w:p>
        </w:tc>
        <w:tc>
          <w:tcPr>
            <w:tcW w:w="1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w:t>
            </w:r>
          </w:p>
        </w:tc>
        <w:tc>
          <w:tcPr>
            <w:tcW w:w="280" w:type="dxa"/>
            <w:vAlign w:val="bottom"/>
            <w:gridSpan w:val="6"/>
          </w:tcPr>
          <w:p>
            <w:pPr>
              <w:spacing w:after="0"/>
              <w:rPr>
                <w:sz w:val="17"/>
                <w:szCs w:val="17"/>
                <w:color w:val="auto"/>
              </w:rPr>
            </w:pPr>
          </w:p>
        </w:tc>
        <w:tc>
          <w:tcPr>
            <w:tcW w:w="8140" w:type="dxa"/>
            <w:vAlign w:val="bottom"/>
            <w:gridSpan w:val="27"/>
          </w:tcPr>
          <w:p>
            <w:pPr>
              <w:ind w:left="140"/>
              <w:spacing w:after="0" w:line="196" w:lineRule="exact"/>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4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3"/>
              </w:rPr>
              <w:t>ITEM 2.</w:t>
            </w:r>
          </w:p>
        </w:tc>
        <w:tc>
          <w:tcPr>
            <w:tcW w:w="280" w:type="dxa"/>
            <w:vAlign w:val="bottom"/>
            <w:gridSpan w:val="6"/>
          </w:tcPr>
          <w:p>
            <w:pPr>
              <w:spacing w:after="0"/>
              <w:rPr>
                <w:sz w:val="17"/>
                <w:szCs w:val="17"/>
                <w:color w:val="auto"/>
              </w:rPr>
            </w:pPr>
          </w:p>
        </w:tc>
        <w:tc>
          <w:tcPr>
            <w:tcW w:w="8140" w:type="dxa"/>
            <w:vAlign w:val="bottom"/>
            <w:gridSpan w:val="27"/>
          </w:tcPr>
          <w:p>
            <w:pPr>
              <w:ind w:left="140"/>
              <w:spacing w:after="0" w:line="196" w:lineRule="exact"/>
              <w:rPr>
                <w:sz w:val="20"/>
                <w:szCs w:val="20"/>
                <w:color w:val="auto"/>
              </w:rPr>
            </w:pPr>
            <w:r>
              <w:rPr>
                <w:rFonts w:ascii="Times New Roman" w:cs="Times New Roman" w:eastAsia="Times New Roman" w:hAnsi="Times New Roman"/>
                <w:sz w:val="18"/>
                <w:szCs w:val="18"/>
                <w:color w:val="0000EE"/>
              </w:rPr>
              <w:t>OFFER STATISTICS AND EXPECTED TIMETABLE</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4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3"/>
              </w:rPr>
              <w:t>ITEM 3.</w:t>
            </w:r>
          </w:p>
        </w:tc>
        <w:tc>
          <w:tcPr>
            <w:tcW w:w="280" w:type="dxa"/>
            <w:vAlign w:val="bottom"/>
            <w:gridSpan w:val="6"/>
          </w:tcPr>
          <w:p>
            <w:pPr>
              <w:spacing w:after="0"/>
              <w:rPr>
                <w:sz w:val="17"/>
                <w:szCs w:val="17"/>
                <w:color w:val="auto"/>
              </w:rPr>
            </w:pPr>
          </w:p>
        </w:tc>
        <w:tc>
          <w:tcPr>
            <w:tcW w:w="8140" w:type="dxa"/>
            <w:vAlign w:val="bottom"/>
            <w:gridSpan w:val="27"/>
          </w:tcPr>
          <w:p>
            <w:pPr>
              <w:ind w:left="140"/>
              <w:spacing w:after="0" w:line="196" w:lineRule="exact"/>
              <w:rPr>
                <w:sz w:val="20"/>
                <w:szCs w:val="20"/>
                <w:color w:val="auto"/>
              </w:rPr>
            </w:pPr>
            <w:r>
              <w:rPr>
                <w:rFonts w:ascii="Times New Roman" w:cs="Times New Roman" w:eastAsia="Times New Roman" w:hAnsi="Times New Roman"/>
                <w:sz w:val="18"/>
                <w:szCs w:val="18"/>
                <w:color w:val="0000EE"/>
              </w:rPr>
              <w:t>KEY INFORMATION</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4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3"/>
              </w:rPr>
              <w:t>ITEM 4.</w:t>
            </w:r>
          </w:p>
        </w:tc>
        <w:tc>
          <w:tcPr>
            <w:tcW w:w="280" w:type="dxa"/>
            <w:vAlign w:val="bottom"/>
            <w:gridSpan w:val="6"/>
          </w:tcPr>
          <w:p>
            <w:pPr>
              <w:spacing w:after="0"/>
              <w:rPr>
                <w:sz w:val="17"/>
                <w:szCs w:val="17"/>
                <w:color w:val="auto"/>
              </w:rPr>
            </w:pPr>
          </w:p>
        </w:tc>
        <w:tc>
          <w:tcPr>
            <w:tcW w:w="8140" w:type="dxa"/>
            <w:vAlign w:val="bottom"/>
            <w:gridSpan w:val="27"/>
          </w:tcPr>
          <w:p>
            <w:pPr>
              <w:ind w:left="140"/>
              <w:spacing w:after="0" w:line="196" w:lineRule="exact"/>
              <w:rPr>
                <w:sz w:val="20"/>
                <w:szCs w:val="20"/>
                <w:color w:val="auto"/>
              </w:rPr>
            </w:pPr>
            <w:r>
              <w:rPr>
                <w:rFonts w:ascii="Times New Roman" w:cs="Times New Roman" w:eastAsia="Times New Roman" w:hAnsi="Times New Roman"/>
                <w:sz w:val="18"/>
                <w:szCs w:val="18"/>
                <w:color w:val="0000EE"/>
              </w:rPr>
              <w:t>INFORMATION ON THE COMPANY</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20"/>
        </w:trPr>
        <w:tc>
          <w:tcPr>
            <w:tcW w:w="4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9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4A.</w:t>
            </w:r>
          </w:p>
        </w:tc>
        <w:tc>
          <w:tcPr>
            <w:tcW w:w="8140" w:type="dxa"/>
            <w:vAlign w:val="bottom"/>
            <w:gridSpan w:val="27"/>
          </w:tcPr>
          <w:p>
            <w:pPr>
              <w:ind w:left="140"/>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20"/>
        </w:trPr>
        <w:tc>
          <w:tcPr>
            <w:tcW w:w="4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3"/>
              </w:rPr>
              <w:t>ITEM 5.</w:t>
            </w:r>
          </w:p>
        </w:tc>
        <w:tc>
          <w:tcPr>
            <w:tcW w:w="100" w:type="dxa"/>
            <w:vAlign w:val="bottom"/>
            <w:gridSpan w:val="2"/>
          </w:tcPr>
          <w:p>
            <w:pPr>
              <w:spacing w:after="0"/>
              <w:rPr>
                <w:sz w:val="17"/>
                <w:szCs w:val="17"/>
                <w:color w:val="auto"/>
              </w:rPr>
            </w:pPr>
          </w:p>
        </w:tc>
        <w:tc>
          <w:tcPr>
            <w:tcW w:w="180" w:type="dxa"/>
            <w:vAlign w:val="bottom"/>
            <w:gridSpan w:val="4"/>
          </w:tcPr>
          <w:p>
            <w:pPr>
              <w:spacing w:after="0"/>
              <w:rPr>
                <w:sz w:val="17"/>
                <w:szCs w:val="17"/>
                <w:color w:val="auto"/>
              </w:rPr>
            </w:pPr>
          </w:p>
        </w:tc>
        <w:tc>
          <w:tcPr>
            <w:tcW w:w="8140" w:type="dxa"/>
            <w:vAlign w:val="bottom"/>
            <w:gridSpan w:val="27"/>
          </w:tcPr>
          <w:p>
            <w:pPr>
              <w:ind w:left="140"/>
              <w:spacing w:after="0" w:line="196"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20"/>
        </w:trPr>
        <w:tc>
          <w:tcPr>
            <w:tcW w:w="4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3"/>
              </w:rPr>
              <w:t>ITEM 6.</w:t>
            </w:r>
          </w:p>
        </w:tc>
        <w:tc>
          <w:tcPr>
            <w:tcW w:w="280" w:type="dxa"/>
            <w:vAlign w:val="bottom"/>
            <w:gridSpan w:val="6"/>
          </w:tcPr>
          <w:p>
            <w:pPr>
              <w:spacing w:after="0"/>
              <w:rPr>
                <w:sz w:val="17"/>
                <w:szCs w:val="17"/>
                <w:color w:val="auto"/>
              </w:rPr>
            </w:pPr>
          </w:p>
        </w:tc>
        <w:tc>
          <w:tcPr>
            <w:tcW w:w="8140" w:type="dxa"/>
            <w:vAlign w:val="bottom"/>
            <w:gridSpan w:val="27"/>
          </w:tcPr>
          <w:p>
            <w:pPr>
              <w:ind w:left="140"/>
              <w:spacing w:after="0" w:line="196" w:lineRule="exact"/>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r>
      <w:tr>
        <w:trPr>
          <w:trHeight w:val="20"/>
        </w:trPr>
        <w:tc>
          <w:tcPr>
            <w:tcW w:w="4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3"/>
              </w:rPr>
              <w:t>ITEM 7.</w:t>
            </w:r>
          </w:p>
        </w:tc>
        <w:tc>
          <w:tcPr>
            <w:tcW w:w="280" w:type="dxa"/>
            <w:vAlign w:val="bottom"/>
            <w:gridSpan w:val="6"/>
          </w:tcPr>
          <w:p>
            <w:pPr>
              <w:spacing w:after="0"/>
              <w:rPr>
                <w:sz w:val="17"/>
                <w:szCs w:val="17"/>
                <w:color w:val="auto"/>
              </w:rPr>
            </w:pPr>
          </w:p>
        </w:tc>
        <w:tc>
          <w:tcPr>
            <w:tcW w:w="8140" w:type="dxa"/>
            <w:vAlign w:val="bottom"/>
            <w:gridSpan w:val="27"/>
          </w:tcPr>
          <w:p>
            <w:pPr>
              <w:ind w:left="140"/>
              <w:spacing w:after="0" w:line="196" w:lineRule="exact"/>
              <w:rPr>
                <w:sz w:val="20"/>
                <w:szCs w:val="20"/>
                <w:color w:val="auto"/>
              </w:rPr>
            </w:pPr>
            <w:r>
              <w:rPr>
                <w:rFonts w:ascii="Times New Roman" w:cs="Times New Roman" w:eastAsia="Times New Roman" w:hAnsi="Times New Roman"/>
                <w:sz w:val="18"/>
                <w:szCs w:val="18"/>
                <w:color w:val="0000EE"/>
              </w:rPr>
              <w:t>MAJOR SHAREHOLDERS AND RELATED PARTY TRANSACTIONS</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r>
      <w:tr>
        <w:trPr>
          <w:trHeight w:val="20"/>
        </w:trPr>
        <w:tc>
          <w:tcPr>
            <w:tcW w:w="4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3"/>
              </w:rPr>
              <w:t>ITEM 8.</w:t>
            </w:r>
          </w:p>
        </w:tc>
        <w:tc>
          <w:tcPr>
            <w:tcW w:w="280" w:type="dxa"/>
            <w:vAlign w:val="bottom"/>
            <w:gridSpan w:val="6"/>
          </w:tcPr>
          <w:p>
            <w:pPr>
              <w:spacing w:after="0"/>
              <w:rPr>
                <w:sz w:val="17"/>
                <w:szCs w:val="17"/>
                <w:color w:val="auto"/>
              </w:rPr>
            </w:pPr>
          </w:p>
        </w:tc>
        <w:tc>
          <w:tcPr>
            <w:tcW w:w="8140" w:type="dxa"/>
            <w:vAlign w:val="bottom"/>
            <w:gridSpan w:val="27"/>
          </w:tcPr>
          <w:p>
            <w:pPr>
              <w:ind w:left="140"/>
              <w:spacing w:after="0" w:line="196" w:lineRule="exact"/>
              <w:rPr>
                <w:sz w:val="20"/>
                <w:szCs w:val="20"/>
                <w:color w:val="auto"/>
              </w:rPr>
            </w:pPr>
            <w:r>
              <w:rPr>
                <w:rFonts w:ascii="Times New Roman" w:cs="Times New Roman" w:eastAsia="Times New Roman" w:hAnsi="Times New Roman"/>
                <w:sz w:val="18"/>
                <w:szCs w:val="18"/>
                <w:color w:val="0000EE"/>
              </w:rPr>
              <w:t>FINANCIAL INFORMATION</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r>
      <w:tr>
        <w:trPr>
          <w:trHeight w:val="20"/>
        </w:trPr>
        <w:tc>
          <w:tcPr>
            <w:tcW w:w="4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3"/>
              </w:rPr>
              <w:t>ITEM 9.</w:t>
            </w:r>
          </w:p>
        </w:tc>
        <w:tc>
          <w:tcPr>
            <w:tcW w:w="280" w:type="dxa"/>
            <w:vAlign w:val="bottom"/>
            <w:gridSpan w:val="6"/>
          </w:tcPr>
          <w:p>
            <w:pPr>
              <w:spacing w:after="0"/>
              <w:rPr>
                <w:sz w:val="17"/>
                <w:szCs w:val="17"/>
                <w:color w:val="auto"/>
              </w:rPr>
            </w:pPr>
          </w:p>
        </w:tc>
        <w:tc>
          <w:tcPr>
            <w:tcW w:w="8140" w:type="dxa"/>
            <w:vAlign w:val="bottom"/>
            <w:gridSpan w:val="27"/>
          </w:tcPr>
          <w:p>
            <w:pPr>
              <w:ind w:left="140"/>
              <w:spacing w:after="0" w:line="196" w:lineRule="exact"/>
              <w:rPr>
                <w:sz w:val="20"/>
                <w:szCs w:val="20"/>
                <w:color w:val="auto"/>
              </w:rPr>
            </w:pPr>
            <w:r>
              <w:rPr>
                <w:rFonts w:ascii="Times New Roman" w:cs="Times New Roman" w:eastAsia="Times New Roman" w:hAnsi="Times New Roman"/>
                <w:sz w:val="18"/>
                <w:szCs w:val="18"/>
                <w:color w:val="0000EE"/>
              </w:rPr>
              <w:t>THE OFFER AND LISTING</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r>
      <w:tr>
        <w:trPr>
          <w:trHeight w:val="20"/>
        </w:trPr>
        <w:tc>
          <w:tcPr>
            <w:tcW w:w="4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9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10.</w:t>
            </w:r>
          </w:p>
        </w:tc>
        <w:tc>
          <w:tcPr>
            <w:tcW w:w="8140" w:type="dxa"/>
            <w:vAlign w:val="bottom"/>
            <w:gridSpan w:val="27"/>
          </w:tcPr>
          <w:p>
            <w:pPr>
              <w:ind w:left="140"/>
              <w:spacing w:after="0" w:line="196" w:lineRule="exact"/>
              <w:rPr>
                <w:sz w:val="20"/>
                <w:szCs w:val="20"/>
                <w:color w:val="auto"/>
              </w:rPr>
            </w:pPr>
            <w:r>
              <w:rPr>
                <w:rFonts w:ascii="Times New Roman" w:cs="Times New Roman" w:eastAsia="Times New Roman" w:hAnsi="Times New Roman"/>
                <w:sz w:val="18"/>
                <w:szCs w:val="18"/>
                <w:color w:val="0000EE"/>
              </w:rPr>
              <w:t>ADDITIONAL INFORMATION</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r>
      <w:tr>
        <w:trPr>
          <w:trHeight w:val="20"/>
        </w:trPr>
        <w:tc>
          <w:tcPr>
            <w:tcW w:w="4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11.</w:t>
            </w:r>
          </w:p>
        </w:tc>
        <w:tc>
          <w:tcPr>
            <w:tcW w:w="200" w:type="dxa"/>
            <w:vAlign w:val="bottom"/>
            <w:gridSpan w:val="5"/>
          </w:tcPr>
          <w:p>
            <w:pPr>
              <w:spacing w:after="0"/>
              <w:rPr>
                <w:sz w:val="17"/>
                <w:szCs w:val="17"/>
                <w:color w:val="auto"/>
              </w:rPr>
            </w:pPr>
          </w:p>
        </w:tc>
        <w:tc>
          <w:tcPr>
            <w:tcW w:w="8140" w:type="dxa"/>
            <w:vAlign w:val="bottom"/>
            <w:gridSpan w:val="27"/>
          </w:tcPr>
          <w:p>
            <w:pPr>
              <w:ind w:left="140"/>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143</w:t>
            </w:r>
          </w:p>
        </w:tc>
      </w:tr>
      <w:tr>
        <w:trPr>
          <w:trHeight w:val="20"/>
        </w:trPr>
        <w:tc>
          <w:tcPr>
            <w:tcW w:w="4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9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12.</w:t>
            </w:r>
          </w:p>
        </w:tc>
        <w:tc>
          <w:tcPr>
            <w:tcW w:w="8140" w:type="dxa"/>
            <w:vAlign w:val="bottom"/>
            <w:gridSpan w:val="27"/>
          </w:tcPr>
          <w:p>
            <w:pPr>
              <w:ind w:left="140"/>
              <w:spacing w:after="0" w:line="19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r>
      <w:tr>
        <w:trPr>
          <w:trHeight w:val="20"/>
        </w:trPr>
        <w:tc>
          <w:tcPr>
            <w:tcW w:w="4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3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PART II</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r>
      <w:tr>
        <w:trPr>
          <w:trHeight w:val="20"/>
        </w:trPr>
        <w:tc>
          <w:tcPr>
            <w:tcW w:w="4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13.</w:t>
            </w:r>
          </w:p>
        </w:tc>
        <w:tc>
          <w:tcPr>
            <w:tcW w:w="180" w:type="dxa"/>
            <w:vAlign w:val="bottom"/>
            <w:gridSpan w:val="4"/>
          </w:tcPr>
          <w:p>
            <w:pPr>
              <w:spacing w:after="0"/>
              <w:rPr>
                <w:sz w:val="17"/>
                <w:szCs w:val="17"/>
                <w:color w:val="auto"/>
              </w:rPr>
            </w:pPr>
          </w:p>
        </w:tc>
        <w:tc>
          <w:tcPr>
            <w:tcW w:w="8140" w:type="dxa"/>
            <w:vAlign w:val="bottom"/>
            <w:gridSpan w:val="27"/>
          </w:tcPr>
          <w:p>
            <w:pPr>
              <w:ind w:left="140"/>
              <w:spacing w:after="0" w:line="196" w:lineRule="exact"/>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r>
      <w:tr>
        <w:trPr>
          <w:trHeight w:val="20"/>
        </w:trPr>
        <w:tc>
          <w:tcPr>
            <w:tcW w:w="4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14.</w:t>
            </w:r>
          </w:p>
        </w:tc>
        <w:tc>
          <w:tcPr>
            <w:tcW w:w="180" w:type="dxa"/>
            <w:vAlign w:val="bottom"/>
            <w:gridSpan w:val="4"/>
          </w:tcPr>
          <w:p>
            <w:pPr>
              <w:spacing w:after="0"/>
              <w:rPr>
                <w:sz w:val="17"/>
                <w:szCs w:val="17"/>
                <w:color w:val="auto"/>
              </w:rPr>
            </w:pPr>
          </w:p>
        </w:tc>
        <w:tc>
          <w:tcPr>
            <w:tcW w:w="8140" w:type="dxa"/>
            <w:vAlign w:val="bottom"/>
            <w:gridSpan w:val="27"/>
          </w:tcPr>
          <w:p>
            <w:pPr>
              <w:ind w:left="140"/>
              <w:spacing w:after="0" w:line="196" w:lineRule="exact"/>
              <w:rPr>
                <w:sz w:val="20"/>
                <w:szCs w:val="20"/>
                <w:color w:val="auto"/>
              </w:rPr>
            </w:pPr>
            <w:r>
              <w:rPr>
                <w:rFonts w:ascii="Times New Roman" w:cs="Times New Roman" w:eastAsia="Times New Roman" w:hAnsi="Times New Roman"/>
                <w:sz w:val="18"/>
                <w:szCs w:val="18"/>
                <w:color w:val="0000EE"/>
              </w:rPr>
              <w:t>MATERIAL MODIFICATIONS TO THE RIGHTS OF SECURITY HOLDERS AND USE OF PROCEEDS</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r>
      <w:tr>
        <w:trPr>
          <w:trHeight w:val="20"/>
        </w:trPr>
        <w:tc>
          <w:tcPr>
            <w:tcW w:w="4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15.</w:t>
            </w:r>
          </w:p>
        </w:tc>
        <w:tc>
          <w:tcPr>
            <w:tcW w:w="180" w:type="dxa"/>
            <w:vAlign w:val="bottom"/>
            <w:gridSpan w:val="4"/>
          </w:tcPr>
          <w:p>
            <w:pPr>
              <w:spacing w:after="0"/>
              <w:rPr>
                <w:sz w:val="17"/>
                <w:szCs w:val="17"/>
                <w:color w:val="auto"/>
              </w:rPr>
            </w:pPr>
          </w:p>
        </w:tc>
        <w:tc>
          <w:tcPr>
            <w:tcW w:w="8140" w:type="dxa"/>
            <w:vAlign w:val="bottom"/>
            <w:gridSpan w:val="27"/>
          </w:tcPr>
          <w:p>
            <w:pPr>
              <w:ind w:left="140"/>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r>
      <w:tr>
        <w:trPr>
          <w:trHeight w:val="20"/>
        </w:trPr>
        <w:tc>
          <w:tcPr>
            <w:tcW w:w="4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88"/>
              </w:rPr>
              <w:t>ITEM 16A.</w:t>
            </w:r>
          </w:p>
        </w:tc>
        <w:tc>
          <w:tcPr>
            <w:tcW w:w="120" w:type="dxa"/>
            <w:vAlign w:val="bottom"/>
            <w:gridSpan w:val="2"/>
          </w:tcPr>
          <w:p>
            <w:pPr>
              <w:spacing w:after="0"/>
              <w:rPr>
                <w:sz w:val="17"/>
                <w:szCs w:val="17"/>
                <w:color w:val="auto"/>
              </w:rPr>
            </w:pPr>
          </w:p>
        </w:tc>
        <w:tc>
          <w:tcPr>
            <w:tcW w:w="8140" w:type="dxa"/>
            <w:vAlign w:val="bottom"/>
            <w:gridSpan w:val="27"/>
          </w:tcPr>
          <w:p>
            <w:pPr>
              <w:ind w:left="140"/>
              <w:spacing w:after="0" w:line="196" w:lineRule="exact"/>
              <w:rPr>
                <w:sz w:val="20"/>
                <w:szCs w:val="20"/>
                <w:color w:val="auto"/>
              </w:rPr>
            </w:pPr>
            <w:r>
              <w:rPr>
                <w:rFonts w:ascii="Times New Roman" w:cs="Times New Roman" w:eastAsia="Times New Roman" w:hAnsi="Times New Roman"/>
                <w:sz w:val="18"/>
                <w:szCs w:val="18"/>
                <w:color w:val="0000EE"/>
              </w:rPr>
              <w:t>AUDIT COMMITTEE FINANCIAL EXPERT</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r>
      <w:tr>
        <w:trPr>
          <w:trHeight w:val="20"/>
        </w:trPr>
        <w:tc>
          <w:tcPr>
            <w:tcW w:w="4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16B.</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140" w:type="dxa"/>
            <w:vAlign w:val="bottom"/>
            <w:gridSpan w:val="27"/>
          </w:tcPr>
          <w:p>
            <w:pPr>
              <w:ind w:left="140"/>
              <w:spacing w:after="0" w:line="196" w:lineRule="exact"/>
              <w:rPr>
                <w:sz w:val="20"/>
                <w:szCs w:val="20"/>
                <w:color w:val="auto"/>
              </w:rPr>
            </w:pPr>
            <w:r>
              <w:rPr>
                <w:rFonts w:ascii="Times New Roman" w:cs="Times New Roman" w:eastAsia="Times New Roman" w:hAnsi="Times New Roman"/>
                <w:sz w:val="18"/>
                <w:szCs w:val="18"/>
                <w:color w:val="0000EE"/>
              </w:rPr>
              <w:t>CODE OF ETHICS</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r>
      <w:tr>
        <w:trPr>
          <w:trHeight w:val="20"/>
        </w:trPr>
        <w:tc>
          <w:tcPr>
            <w:tcW w:w="4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16C.</w:t>
            </w:r>
          </w:p>
        </w:tc>
        <w:tc>
          <w:tcPr>
            <w:tcW w:w="40" w:type="dxa"/>
            <w:vAlign w:val="bottom"/>
          </w:tcPr>
          <w:p>
            <w:pPr>
              <w:spacing w:after="0"/>
              <w:rPr>
                <w:sz w:val="17"/>
                <w:szCs w:val="17"/>
                <w:color w:val="auto"/>
              </w:rPr>
            </w:pPr>
          </w:p>
        </w:tc>
        <w:tc>
          <w:tcPr>
            <w:tcW w:w="8140" w:type="dxa"/>
            <w:vAlign w:val="bottom"/>
            <w:gridSpan w:val="27"/>
          </w:tcPr>
          <w:p>
            <w:pPr>
              <w:ind w:left="140"/>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r>
      <w:tr>
        <w:trPr>
          <w:trHeight w:val="20"/>
        </w:trPr>
        <w:tc>
          <w:tcPr>
            <w:tcW w:w="4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60" w:type="dxa"/>
            <w:vAlign w:val="bottom"/>
            <w:tcBorders>
              <w:left w:val="single" w:sz="8" w:color="0000EE"/>
            </w:tcBorders>
            <w:gridSpan w:val="4"/>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88"/>
              </w:rPr>
              <w:t>ITEM 16D.</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140" w:type="dxa"/>
            <w:vAlign w:val="bottom"/>
            <w:gridSpan w:val="27"/>
          </w:tcPr>
          <w:p>
            <w:pPr>
              <w:ind w:left="140"/>
              <w:spacing w:after="0" w:line="196" w:lineRule="exact"/>
              <w:rPr>
                <w:sz w:val="20"/>
                <w:szCs w:val="20"/>
                <w:color w:val="auto"/>
              </w:rPr>
            </w:pPr>
            <w:r>
              <w:rPr>
                <w:rFonts w:ascii="Times New Roman" w:cs="Times New Roman" w:eastAsia="Times New Roman" w:hAnsi="Times New Roman"/>
                <w:sz w:val="18"/>
                <w:szCs w:val="18"/>
                <w:color w:val="0000EE"/>
              </w:rPr>
              <w:t>EXEMPTIONS FROM THE LISTING STANDARDS FOR AUDIT COMMITTEES</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r>
      <w:tr>
        <w:trPr>
          <w:trHeight w:val="20"/>
        </w:trPr>
        <w:tc>
          <w:tcPr>
            <w:tcW w:w="4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80" w:type="dxa"/>
            <w:vAlign w:val="bottom"/>
            <w:tcBorders>
              <w:left w:val="single" w:sz="8" w:color="0000EE"/>
            </w:tcBorders>
            <w:gridSpan w:val="6"/>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0"/>
              </w:rPr>
              <w:t>ITEM 16E.</w:t>
            </w:r>
          </w:p>
        </w:tc>
        <w:tc>
          <w:tcPr>
            <w:tcW w:w="120" w:type="dxa"/>
            <w:vAlign w:val="bottom"/>
            <w:gridSpan w:val="2"/>
          </w:tcPr>
          <w:p>
            <w:pPr>
              <w:spacing w:after="0"/>
              <w:rPr>
                <w:sz w:val="17"/>
                <w:szCs w:val="17"/>
                <w:color w:val="auto"/>
              </w:rPr>
            </w:pPr>
          </w:p>
        </w:tc>
        <w:tc>
          <w:tcPr>
            <w:tcW w:w="8140" w:type="dxa"/>
            <w:vAlign w:val="bottom"/>
            <w:gridSpan w:val="27"/>
          </w:tcPr>
          <w:p>
            <w:pPr>
              <w:ind w:left="140"/>
              <w:spacing w:after="0" w:line="196" w:lineRule="exact"/>
              <w:rPr>
                <w:sz w:val="20"/>
                <w:szCs w:val="20"/>
                <w:color w:val="auto"/>
              </w:rPr>
            </w:pPr>
            <w:r>
              <w:rPr>
                <w:rFonts w:ascii="Times New Roman" w:cs="Times New Roman" w:eastAsia="Times New Roman" w:hAnsi="Times New Roman"/>
                <w:sz w:val="18"/>
                <w:szCs w:val="18"/>
                <w:color w:val="0000EE"/>
              </w:rPr>
              <w:t>PURCHASES OF EQUITY SECURITIES BY THE ISSUER AND AFFILIATED PURCHASERS</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r>
      <w:tr>
        <w:trPr>
          <w:trHeight w:val="20"/>
        </w:trPr>
        <w:tc>
          <w:tcPr>
            <w:tcW w:w="4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80" w:type="dxa"/>
            <w:vAlign w:val="bottom"/>
            <w:tcBorders>
              <w:left w:val="single" w:sz="8" w:color="0000EE"/>
            </w:tcBorders>
            <w:gridSpan w:val="6"/>
            <w:shd w:val="clear" w:color="auto" w:fill="0000EE"/>
          </w:tcPr>
          <w:p>
            <w:pPr>
              <w:spacing w:after="0" w:line="20" w:lineRule="exact"/>
              <w:rPr>
                <w:sz w:val="1"/>
                <w:szCs w:val="1"/>
                <w:color w:val="auto"/>
              </w:rPr>
            </w:pPr>
          </w:p>
        </w:tc>
        <w:tc>
          <w:tcPr>
            <w:tcW w:w="2280" w:type="dxa"/>
            <w:vAlign w:val="bottom"/>
            <w:gridSpan w:val="7"/>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1"/>
              </w:rPr>
              <w:t>ITEM 16F.</w:t>
            </w:r>
          </w:p>
        </w:tc>
        <w:tc>
          <w:tcPr>
            <w:tcW w:w="120" w:type="dxa"/>
            <w:vAlign w:val="bottom"/>
            <w:gridSpan w:val="2"/>
          </w:tcPr>
          <w:p>
            <w:pPr>
              <w:spacing w:after="0"/>
              <w:rPr>
                <w:sz w:val="17"/>
                <w:szCs w:val="17"/>
                <w:color w:val="auto"/>
              </w:rPr>
            </w:pPr>
          </w:p>
        </w:tc>
        <w:tc>
          <w:tcPr>
            <w:tcW w:w="8140" w:type="dxa"/>
            <w:vAlign w:val="bottom"/>
            <w:gridSpan w:val="27"/>
          </w:tcPr>
          <w:p>
            <w:pPr>
              <w:ind w:left="140"/>
              <w:spacing w:after="0" w:line="196" w:lineRule="exact"/>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r>
      <w:tr>
        <w:trPr>
          <w:trHeight w:val="20"/>
        </w:trPr>
        <w:tc>
          <w:tcPr>
            <w:tcW w:w="4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80" w:type="dxa"/>
            <w:vAlign w:val="bottom"/>
            <w:tcBorders>
              <w:left w:val="single" w:sz="8" w:color="0000EE"/>
            </w:tcBorders>
            <w:gridSpan w:val="6"/>
            <w:shd w:val="clear" w:color="auto" w:fill="0000EE"/>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16G.</w:t>
            </w:r>
          </w:p>
        </w:tc>
        <w:tc>
          <w:tcPr>
            <w:tcW w:w="40" w:type="dxa"/>
            <w:vAlign w:val="bottom"/>
          </w:tcPr>
          <w:p>
            <w:pPr>
              <w:spacing w:after="0"/>
              <w:rPr>
                <w:sz w:val="17"/>
                <w:szCs w:val="17"/>
                <w:color w:val="auto"/>
              </w:rPr>
            </w:pPr>
          </w:p>
        </w:tc>
        <w:tc>
          <w:tcPr>
            <w:tcW w:w="8140" w:type="dxa"/>
            <w:vAlign w:val="bottom"/>
            <w:gridSpan w:val="27"/>
          </w:tcPr>
          <w:p>
            <w:pPr>
              <w:ind w:left="140"/>
              <w:spacing w:after="0" w:line="196" w:lineRule="exact"/>
              <w:rPr>
                <w:sz w:val="20"/>
                <w:szCs w:val="20"/>
                <w:color w:val="auto"/>
              </w:rPr>
            </w:pPr>
            <w:r>
              <w:rPr>
                <w:rFonts w:ascii="Times New Roman" w:cs="Times New Roman" w:eastAsia="Times New Roman" w:hAnsi="Times New Roman"/>
                <w:sz w:val="18"/>
                <w:szCs w:val="18"/>
                <w:color w:val="0000EE"/>
              </w:rPr>
              <w:t>CORPORATE GOVERNANCE</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r>
      <w:tr>
        <w:trPr>
          <w:trHeight w:val="20"/>
        </w:trPr>
        <w:tc>
          <w:tcPr>
            <w:tcW w:w="4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60" w:type="dxa"/>
            <w:vAlign w:val="bottom"/>
            <w:gridSpan w:val="1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88"/>
              </w:rPr>
              <w:t>ITEM 16H.</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140" w:type="dxa"/>
            <w:vAlign w:val="bottom"/>
            <w:gridSpan w:val="27"/>
          </w:tcPr>
          <w:p>
            <w:pPr>
              <w:ind w:left="140"/>
              <w:spacing w:after="0" w:line="196" w:lineRule="exact"/>
              <w:rPr>
                <w:sz w:val="20"/>
                <w:szCs w:val="20"/>
                <w:color w:val="auto"/>
              </w:rPr>
            </w:pPr>
            <w:r>
              <w:rPr>
                <w:rFonts w:ascii="Times New Roman" w:cs="Times New Roman" w:eastAsia="Times New Roman" w:hAnsi="Times New Roman"/>
                <w:sz w:val="18"/>
                <w:szCs w:val="18"/>
                <w:color w:val="0000EE"/>
              </w:rPr>
              <w:t>MINE SAFETY DISCLOSURE</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r>
      <w:tr>
        <w:trPr>
          <w:trHeight w:val="20"/>
        </w:trPr>
        <w:tc>
          <w:tcPr>
            <w:tcW w:w="4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60" w:type="dxa"/>
            <w:vAlign w:val="bottom"/>
            <w:gridSpan w:val="1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16I.</w:t>
            </w:r>
          </w:p>
        </w:tc>
        <w:tc>
          <w:tcPr>
            <w:tcW w:w="120" w:type="dxa"/>
            <w:vAlign w:val="bottom"/>
            <w:gridSpan w:val="2"/>
          </w:tcPr>
          <w:p>
            <w:pPr>
              <w:spacing w:after="0"/>
              <w:rPr>
                <w:sz w:val="17"/>
                <w:szCs w:val="17"/>
                <w:color w:val="auto"/>
              </w:rPr>
            </w:pPr>
          </w:p>
        </w:tc>
        <w:tc>
          <w:tcPr>
            <w:tcW w:w="8140" w:type="dxa"/>
            <w:vAlign w:val="bottom"/>
            <w:gridSpan w:val="27"/>
          </w:tcPr>
          <w:p>
            <w:pPr>
              <w:ind w:left="140"/>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r>
      <w:tr>
        <w:trPr>
          <w:trHeight w:val="20"/>
        </w:trPr>
        <w:tc>
          <w:tcPr>
            <w:tcW w:w="4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4560" w:type="dxa"/>
            <w:vAlign w:val="bottom"/>
            <w:tcBorders>
              <w:left w:val="single" w:sz="8" w:color="0000EE"/>
            </w:tcBorders>
            <w:gridSpan w:val="13"/>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4"/>
              </w:rPr>
              <w:t>ITEM 16J.</w:t>
            </w:r>
          </w:p>
        </w:tc>
        <w:tc>
          <w:tcPr>
            <w:tcW w:w="120" w:type="dxa"/>
            <w:vAlign w:val="bottom"/>
            <w:gridSpan w:val="2"/>
          </w:tcPr>
          <w:p>
            <w:pPr>
              <w:spacing w:after="0"/>
              <w:rPr>
                <w:sz w:val="17"/>
                <w:szCs w:val="17"/>
                <w:color w:val="auto"/>
              </w:rPr>
            </w:pPr>
          </w:p>
        </w:tc>
        <w:tc>
          <w:tcPr>
            <w:tcW w:w="8140" w:type="dxa"/>
            <w:vAlign w:val="bottom"/>
            <w:gridSpan w:val="27"/>
          </w:tcPr>
          <w:p>
            <w:pPr>
              <w:ind w:left="140"/>
              <w:spacing w:after="0" w:line="196" w:lineRule="exact"/>
              <w:rPr>
                <w:sz w:val="20"/>
                <w:szCs w:val="20"/>
                <w:color w:val="auto"/>
              </w:rPr>
            </w:pPr>
            <w:r>
              <w:rPr>
                <w:rFonts w:ascii="Times New Roman" w:cs="Times New Roman" w:eastAsia="Times New Roman" w:hAnsi="Times New Roman"/>
                <w:sz w:val="18"/>
                <w:szCs w:val="18"/>
                <w:color w:val="0000EE"/>
              </w:rPr>
              <w:t>INSIDER TRADING POLICIES</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r>
      <w:tr>
        <w:trPr>
          <w:trHeight w:val="20"/>
        </w:trPr>
        <w:tc>
          <w:tcPr>
            <w:tcW w:w="4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5600" w:type="dxa"/>
            <w:vAlign w:val="bottom"/>
            <w:gridSpan w:val="1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88"/>
              </w:rPr>
              <w:t>ITEM 16K.</w:t>
            </w:r>
          </w:p>
        </w:tc>
        <w:tc>
          <w:tcPr>
            <w:tcW w:w="120" w:type="dxa"/>
            <w:vAlign w:val="bottom"/>
            <w:gridSpan w:val="2"/>
          </w:tcPr>
          <w:p>
            <w:pPr>
              <w:spacing w:after="0"/>
              <w:rPr>
                <w:sz w:val="17"/>
                <w:szCs w:val="17"/>
                <w:color w:val="auto"/>
              </w:rPr>
            </w:pPr>
          </w:p>
        </w:tc>
        <w:tc>
          <w:tcPr>
            <w:tcW w:w="8140" w:type="dxa"/>
            <w:vAlign w:val="bottom"/>
            <w:gridSpan w:val="27"/>
          </w:tcPr>
          <w:p>
            <w:pPr>
              <w:ind w:left="140"/>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r>
      <w:tr>
        <w:trPr>
          <w:trHeight w:val="20"/>
        </w:trPr>
        <w:tc>
          <w:tcPr>
            <w:tcW w:w="4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3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PART III</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r>
      <w:tr>
        <w:trPr>
          <w:trHeight w:val="20"/>
        </w:trPr>
        <w:tc>
          <w:tcPr>
            <w:tcW w:w="4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5860" w:type="dxa"/>
            <w:vAlign w:val="bottom"/>
            <w:gridSpan w:val="2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17.</w:t>
            </w:r>
          </w:p>
        </w:tc>
        <w:tc>
          <w:tcPr>
            <w:tcW w:w="180" w:type="dxa"/>
            <w:vAlign w:val="bottom"/>
            <w:gridSpan w:val="4"/>
          </w:tcPr>
          <w:p>
            <w:pPr>
              <w:spacing w:after="0"/>
              <w:rPr>
                <w:sz w:val="17"/>
                <w:szCs w:val="17"/>
                <w:color w:val="auto"/>
              </w:rPr>
            </w:pPr>
          </w:p>
        </w:tc>
        <w:tc>
          <w:tcPr>
            <w:tcW w:w="8140" w:type="dxa"/>
            <w:vAlign w:val="bottom"/>
            <w:gridSpan w:val="27"/>
          </w:tcPr>
          <w:p>
            <w:pPr>
              <w:ind w:left="140"/>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r>
      <w:tr>
        <w:trPr>
          <w:trHeight w:val="20"/>
        </w:trPr>
        <w:tc>
          <w:tcPr>
            <w:tcW w:w="46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5860" w:type="dxa"/>
            <w:vAlign w:val="bottom"/>
            <w:gridSpan w:val="2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18.</w:t>
            </w:r>
          </w:p>
        </w:tc>
        <w:tc>
          <w:tcPr>
            <w:tcW w:w="180" w:type="dxa"/>
            <w:vAlign w:val="bottom"/>
            <w:gridSpan w:val="4"/>
          </w:tcPr>
          <w:p>
            <w:pPr>
              <w:spacing w:after="0"/>
              <w:rPr>
                <w:sz w:val="17"/>
                <w:szCs w:val="17"/>
                <w:color w:val="auto"/>
              </w:rPr>
            </w:pPr>
          </w:p>
        </w:tc>
        <w:tc>
          <w:tcPr>
            <w:tcW w:w="8140" w:type="dxa"/>
            <w:vAlign w:val="bottom"/>
            <w:gridSpan w:val="27"/>
          </w:tcPr>
          <w:p>
            <w:pPr>
              <w:ind w:left="140"/>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r>
      <w:tr>
        <w:trPr>
          <w:trHeight w:val="20"/>
        </w:trPr>
        <w:tc>
          <w:tcPr>
            <w:tcW w:w="46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5860" w:type="dxa"/>
            <w:vAlign w:val="bottom"/>
            <w:gridSpan w:val="2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19.</w:t>
            </w:r>
          </w:p>
        </w:tc>
        <w:tc>
          <w:tcPr>
            <w:tcW w:w="180" w:type="dxa"/>
            <w:vAlign w:val="bottom"/>
            <w:gridSpan w:val="4"/>
          </w:tcPr>
          <w:p>
            <w:pPr>
              <w:spacing w:after="0"/>
              <w:rPr>
                <w:sz w:val="17"/>
                <w:szCs w:val="17"/>
                <w:color w:val="auto"/>
              </w:rPr>
            </w:pPr>
          </w:p>
        </w:tc>
        <w:tc>
          <w:tcPr>
            <w:tcW w:w="8140" w:type="dxa"/>
            <w:vAlign w:val="bottom"/>
            <w:gridSpan w:val="27"/>
          </w:tcPr>
          <w:p>
            <w:pPr>
              <w:ind w:left="140"/>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r>
      <w:tr>
        <w:trPr>
          <w:trHeight w:val="20"/>
        </w:trPr>
        <w:tc>
          <w:tcPr>
            <w:tcW w:w="46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3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154</w:t>
            </w: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indicated and except where the context otherwise requires, references in this annual report on Form 20-F to:</w:t>
      </w:r>
    </w:p>
    <w:p>
      <w:pPr>
        <w:spacing w:after="0" w:line="225" w:lineRule="exact"/>
        <w:rPr>
          <w:sz w:val="20"/>
          <w:szCs w:val="20"/>
          <w:color w:val="auto"/>
        </w:rPr>
      </w:pPr>
    </w:p>
    <w:p>
      <w:pPr>
        <w:jc w:val="both"/>
        <w:ind w:left="1000" w:hanging="317"/>
        <w:spacing w:after="0" w:line="261"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are to our American depositary shares, every 3 of which represent 40 Class A common shares. On December 11, 2023, we effected an ADS ratio change to adjust our common share to ADS ratio from 3 ADSs representing 2 Class A common shares to 3 ADSs representing 40 Class A common shares. Except otherwise stated, the ADS ratio change has been retrospectively applied for all periods presented in this annual report;</w:t>
      </w:r>
    </w:p>
    <w:p>
      <w:pPr>
        <w:spacing w:after="0" w:line="17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are to artificial intelligence;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“Aurora” are to Aurora Mobile Limited, our Cayman Islands holding company;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“BVI” are to the British Virgin Islands;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the “PRC” are to the People’s Republic of China, including Hong Kong and Macau;</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shares” are to our Class A common shares of par value US$0.0001 per share;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common shares” are to our Class B common shares of par value US$0.0001 per share;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are to our common shares, par value US$0.0001 per share;</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in a given period are to those that purchase at least one of our paid-for SAAS Businesses during the same period. We treat each contracting party as a separate customer although it is possible that a company may have more than one contracting party to enter into contracts with us and multiple entities within one corporate group may use the same contracting party to enter into contracts with us;</w:t>
      </w:r>
    </w:p>
    <w:p>
      <w:pPr>
        <w:spacing w:after="0" w:line="179"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“PAG Warrant” are to the warrant to initially purchase 9,666,666 common shares issued by us to PM Partners I LP on February 11, 2026;</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and “Renminbi” are to the legal currency of mainland China;</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“SAAS” are to Software-as-a-Service;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“SAAS Businesses” are to our developer services and vertical applications;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dollars,” “$,” and “dollars” are to the legal currency of the United States;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 are to Shenzhen Hexun Huagu Information Technology Co., Ltd., or Hexun Huagu, including its subsidiaries, Wuhan SendCloud Technology Co., Ltd., or Wuhan SendCloud, and Ifaxin (Hubei) Cloud Co., Ltd., or Ifaxin;</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and “our” are to Aurora Mobile Limited, our Cayman Islands holding company, and its subsidiaries.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“WFOE” are to JPush Information Consultation (Shenzhen) Co., Ltd., or Shenzhen JPush; and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noted, all translations from Renminbi to U.S. dollars and from U.S. dollars to Renminbi in this annual report are made at a rate of RMB6.9931 to US$1.00, the exchange rate in effect as of December 31, 2025 as set forth in the H.10 statistical release of The Board of Governors of the Federal Reserve System. We make no representation that any Renminbi or U.S. dollar amounts could have been, or could be, converted into U.S. dollars or Renminbi, as the case may be, at any particular rate, or at all.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annual report on Form 20-F contains forward-looking statements that relate to our current expectations and views of future events. These statements involve known and unknown risks, uncertainties and other factors that may cause our actual results, performance or achievements to be materially different from those expressed or implied by the forward-looking statements. These statements are made under the “safe harbor” provisions of the U.S. Private Securities Litigations Reform Act of 1995.</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183" w:lineRule="exact"/>
        <w:rPr>
          <w:sz w:val="20"/>
          <w:szCs w:val="20"/>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conditions and results of operations;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continually develop new technology, services and products and keep up with changes in the industries in which we operate;</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the mobile internet industry and the mobile app developer services market in China;</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growing application of big data technology in China, including in areas such as mobile online marketing, financial risk management and market intelligence services;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SAAS Businesses;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relationships with app developers, customers, strategic partners and other stakeholders;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policies and regulations relating to our industry;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general economic and business conditions in China and globally.</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refer to in this annual report and have filed as exhibits to this annual report completely and with the understanding that our actual future results may be materially different from what we expect. Other sections of this annual report discuss factors which could adversely impact our business and financial performance. Moreover, we operate in an evolving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IDENTITY OF DIRECTORS, SENIOR MANAGEMENT AND ADVISERS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OFFER STATISTICS AND EXPECTED TIMETABLE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KEY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Holding Company Structure and Contractual Arrangements with the VIE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Aurora Mobile Limited is not an operating company in China but a Cayman Islands holding company with no equity ownership in its consolidated variable interest entity, or the VIE. We conduct our operations in mainland China primarily through our subsidiaries incorporated in mainland China, or mainland China subsidiaries, and the VIE with which we have maintained contractual arrangements. Our value-added telecommunications services businesses in mainland China have been conducted through the VIE in order to comply with the laws and regulations of mainland China, which restrict and impose conditions on foreign direct investment in companies involved in the provision of such businesses. Accordingly, we operate these businesses in mainland China through the VIE, and such structure is used to provide investors with exposure to foreign investment in China-based companies where laws and regulations in mainland China prohibit or restrict direct foreign investment in certain operating companies, and rely on contractual arrangements among our mainland China subsidiaries, the VIE and their shareholders to control the business operations of the VIE. Investors in our ADSs are not purchasing equity interest in our operating entities in mainland China but instead are purchasing equity interest in a holding company incorporated in the Cayman Islands. As used in this annual report, “Aurora” refers to Aurora Mobile Limited, and “we,” “us,” “our company,” or “our” refers to Aurora Mobile Limited and its subsidiaries. We refer to Shenzhen Hexun Huagu Information Technology Co., Ltd., or Hexun Huagu, including its subsidiaries, as the “VIE,” and to JPush Information Consultation (Shenzhen) Co., Ltd., or Shenzhen JPush, as our “WFOE” in this annual report.</w:t>
      </w:r>
    </w:p>
    <w:p>
      <w:pPr>
        <w:spacing w:after="0" w:line="19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through our WFOE, have entered into a series of contractual arrangements with the VIE and the nominee shareholders of the VIE. These contractual arrangements enable us to: (i) direct the activities of the VIE that most significantly impact its economic performance, (ii) receive the economic benefits of and absorb losses that could potentially be significant to the VIE in consideration for the services provided by our WFOE; and (iii) hold an exclusive option to purchase all or part of the equity interests in and assets of the VIE when and to the extent permitted by the laws of mainland China. Because of these contractual arrangements, we are considered the primary beneficiary of the VIE and hence consolidate its financial results with ours under U.S. GAAP for accounting purposes. In 2023, 2024 and 2025, we derived 95.0%, 90.7% and 85.2% of our external revenues from the VIE, respectively.</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These contractual agreements include exclusive option agreements, exclusive business cooperation agreement, financial support agreement, shareholder voting proxy agreement and equity interest pledge agreements. Pursuant to the exclusive option agreements, each shareholder of the VIE has irrevocably granted our WFOE an exclusive option to purchase all or part of his equity interests in the VIE, and the VIE has irrevocably granted our WFOE an exclusive option to purchase all or part of its assets. Pursuant to the exclusive business cooperation agreement, our WFOE has the exclusive right to provide the VIE comprehensive business support, technical services, consulting services and other services. Pursuant to the financial support agreement, we undertake to provide unlimited financial support to the VIE to the extent permissible under the applicable laws and regulations of mainland China, whether or not any operational loss is actually incurred by the VIE. Each of the shareholders of the VIE has also executed a shareholder voting proxy agreement to irrevocably authorize our company to act as his attorney-in-fact to exercise all of his rights as a shareholder of the VIE. Pursuant to the equity interest pledge agreements, the shareholders of the VIE have pledged 100% equity interests in the VIE to our WFOE to guarantee performance by the shareholders of their obligations under the exclusive option agreements, the shareholder voting proxy agreement and the financial support agreement, as well as the performance by the VIE of its obligations under the exclusive business cooperation agreement and the exclusive option agreements. For a summary of the material provisions of the contractual arrangements, see “Item 4. Information on the Company—C. Organizational Structure.”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However, the contractual arrangements may not be as effective as direct ownership in directing the business operations of the VIE and we may incur substantial costs to enforce the terms of the arrangements. In addition, these agreements have not been tested in mainland China courts. See “Item 3. Key Information—D. Risk Factors—Risks Related to Our Corporate Structure—We rely on contractual arrangements with the VIE and its shareholders for substantially all of our business operations, which may not be as effective as direct ownership” and “Item 3. Key Information—D. Risk Factors—Risks Related to Our Corporate Structure—The shareholders of the VIE may have potential conflicts of interest with us, which may materially and adversely affect our business and financial condition.”</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legal environment in mainland China is not as developed as in other jurisdictions, such as the United States. As a result, uncertainties in the PRC legal system could limit our ability, as a Cayman holding company, to enforce these contractual arrangements and doing so may be quite costly. There are also substantial uncertainties regarding the interpretation and application of current and future laws, regulations and rules of mainland China regarding the status of the rights of our Cayman Islands holding company with respect to its contractual arrangements with the VIE and its shareholders. It is uncertain whether any new laws or regulations of mainland China relating to variable interest entity structures will be adopted or if adopted, what they would provide. If we or the VIE are found to be in violation of any existing or future laws or regulations of mainland China, or fail to obtain or maintain any of the required permits or approvals, the regulatory authorities of mainland China would have broad discretion to take action in dealing with such violations or failures. For more details, see “Item 3. Key Information—D. Risk Factors—Risks Related to Doing Business in China—There are uncertainties regarding the interpretation and enforcement of PRC laws, rules and regulations,” “—Risks Related to Our Corporate Structure—If the PRC government finds that the agreements that establish the structure for operating some of our or the VIE’s business operations in mainland China do not comply with regulations of mainland China relating to certain industries, or if these regulations or the interpretation of existing regulations change in the future, we could be subject to severe penalties, or be forced to relinquish our interest in those operations,” and “—Our business may be significantly affected by the PRC Foreign Investment Law of mainland China.”</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corporate structure is subject to risks associated with our contractual arrangements with the VIE. If the PRC government deems that our contractual arrangements with the VIE do not comply with regulatory restrictions of mainland China on foreign investment in certain industries, or if these regulations or the interpretation of existing regulations change or are interpreted differently in the future, we could be subject to severe penalties or be forced to relinquish our interests in those operations. Our holding company, our mainland China subsidiaries and VIE, and investors of our company face uncertainty about potential future actions by the PRC government that could affect the enforceability of the contractual arrangements with the VIE and, consequently, significantly affect the financial performance of the VIE and our company as a whole. For a detailed description of the risks associated with our corporate structure, please refer to risks disclosed under “Item 3. Key Information—D. Risk Factors—Risks Related to Our Corporate Structure.”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VIE is owned principally by Mr. Weidong Luo, who holds 80% of the equity interest in the VIE. Mr. Luo also has 76.2% of the total voting power of Aurora. Accordingly, the enforceability of the various contracts described above by our company against the VIE is dependent upon Mr. Luo. If he fails to perform his obligations under the contractual arrangements, we could be unable to enforce the contractual arrangements that enable us to direct the business operations of the VIE. If this happens, we would need to deconsolidate the VIE. The majority of our assets, including the necessary licenses to conduct business in mainland China are held by the VIE. A significant part of our revenues is generated by the VIE. An event that results in the deconsolidation of the VIE would have a material effect on our operations and result in the value of the securities diminish substantially or even become worthless. For a detailed description of the risks associated with our corporate structure, see “Item 3. Key Information—D. Risk Factors—Risks Related to Our Corporate Structure.”</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and the VIE face various risks and uncertainties related to doing business in mainland China. Our and the VIE’s business operations are primarily conducted in mainland China, and we are subject to complex and evolving laws and regulations of mainland China. For example, we face risks associated with regulatory approvals on offshore offerings, anti-monopoly regulatory actions, and oversight on cybersecurity and data privacy as disclosed in this annual report. This may impact our ability to conduct certain businesses, accept foreign investments, or list on a United States or other foreign exchange. These risks could result in a material adverse change in our operations and the value of our ADSs, significantly limit or completely hinder our ability to continue to offer securities to investors, or cause the value of such securities to significantly decline. For a detailed description of risks related to doing business in China, please refer to risks disclosed under “Item 3. Key Information—D. Risk Factors—Risks Related to Doing Business in China.”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PRC government’s significant authority in regulating our operations and its oversight and control over offerings conducted overseas by, and foreign investment in, China-based issuers could significantly limit or completely hinder our ability to offer or continue to offer securities to investors. Implementation of industry-wide regulations, including data security or anti-monopoly related regulations, in this nature may cause the value of such securities to significantly decline. For more details, see “Item 3. Key Information—D. Risk Factors—Risks Related to Doing Business in China—The PRC government’s significant oversight over our or the VIE’s business operation could result in a material adverse change in our and the VIE’s operations and the value of our ADSs.”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Our Operations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We conduct our business in mainland China through our subsidiaries and the VIE in mainland China. The operations of our subsidiaries and the VIE in mainland China are governed by laws and regulations of mainland China. As of the date of this annual report, and except as otherwise disclosed in this annual report, our mainland China subsidiaries and the VIE have obtained the requisite licenses and permits from the PRC government authorities that are material for the business operations of our holding company and the VIE in mainland China, including, among others, three value-added telecommunication business licenses covering different scope of operations and a foreign-related investigation license. The VIE may also be required to obtain the personal credit reporting business license. The PRC government has adopted several regulations governing personal credit reporting businesses. According to the Administrative Regulations on the Credit Reporting Industry, which was promulgated by the State Council and became effective in 2013, “personal credit reporting business” means the activities of collecting, organizing, storing and processing “information related to the credit standing” of individuals as well as providing the information to others, and a “credit reporting agency” refers to a duly established agency whose primary business is credit reporting. Under the Administrative Regulations on the Credit Reporting Industry and the Administrative Measures for Credit Reporting Agencies, the latter of which was promulgated by the People’s Bank of China and became effective in 2013, no entity may engage in personal credit reporting business without approval by the credit reporting industry regulatory department under the State Council. On September 27, 2021, the People’s Bank of China promulgated the Administrative Measures for Credit Information Services, which took effect on January 1, 2022. Pursuant to these measures, Credit Information Services, shall mean the collection, sorting, retention, and processing of credit information of enterprises and individuals, and the provision of the foregoing information to information users. Credit information, shall mean the basic individual information, lending information and other information used for identification and determination of creditworthiness status of enterprises and individuals, and collected pursuant to the law for the purpose of providing services for financial activities, as well as the analyzed and evaluated information formed based on the foregoing information. Persons engaging in personal credit information services shall obtain the personal credit information organization license issued by the People’s Bank of China pursuant to these measures. The VIE provides financial risk management solutions to financial institutions as well as emerging technology companies based on device-level mobile behavior data. Due to the lack of further interpretations of the current regulations governing personal credit reporting businesses, the exact definition and scope of “information related to credit standing” and “personal credit reporting business” under the current regulations are unclear. It is therefore uncertain whether the VIE would be deemed to engage in personal credit reporting business because of the VIE’s financial risk management solutions. The VIE’s subsidiary, Wuhan SendCloud, may also be required to obtain a value - added telecommunication business license for store - and - forward services. Wuhan SendCloud provides email sending services as part of its current operations and its email sending platform allows customers to configure and create sending domains and perform email sending functions, which may be deemed as providing store - and - forward services. Accordingly, Wuhan SendCloud may be required to obtain a class B23 value</w:t>
      </w:r>
    </w:p>
    <w:p>
      <w:pPr>
        <w:spacing w:after="0" w:line="5" w:lineRule="exact"/>
        <w:rPr>
          <w:sz w:val="20"/>
          <w:szCs w:val="20"/>
          <w:color w:val="auto"/>
        </w:rPr>
      </w:pPr>
    </w:p>
    <w:p>
      <w:pPr>
        <w:jc w:val="both"/>
        <w:ind w:firstLine="8"/>
        <w:spacing w:after="0" w:line="251" w:lineRule="auto"/>
        <w:tabs>
          <w:tab w:leader="none" w:pos="1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telecommunication business license for store - and - forward services. Wuhan SendCloud is in the process of applying for such licenses and has not yet obtained it as of the date of this annual report. As of the date of this annual report, we and the VIE have not been subject to any fines or other penalties under any laws or regulations of mainland China related to personal credit reporting business. See “Item 4. Information on the Company—B. Business Overview —Regulations—Regulations on Credit Reporting.” Given the uncertainties of interpretation and implementation of laws and regulations and the enforcement practice by government authorities, we and the VIE may be required to obtain additional licenses, permits, filings or approvals for the functions and services of our platform in the future. For more detailed information, see “Item 3. Key Information—D. Risk Factors—Risks Related to Doing Business in China— We and the VIE may be adversely affected by the complexity, uncertainties and changes in the regulation of internet-related businesses and companies in mainland China, and any lack of requisite approvals, licenses or permits applicable to our and the VIE’s business may have a material adverse effect on our and the VIE’s business and results of operations.”</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14, 2025, we entered into an at market issuance sales agreement with China Renaissance Securities (Hong Kong) Limited with respect to an at-the-market sales program under which we may offer and sell, from time to time at our sole discretion, up to an aggregate of US$8,000,000 of ADSs through China Renaissance Securities (Hong Kong) Limited as our sales agent (the “ATM Offering Program”).We completed the first issuance of ADSs under the ATM Offering Program on July 14, 2025 and we submitted a filing application to the China Securities Regulatory Commission, or the CSRC, on July 16, 2025.</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11, 2026, we issued the PAG Warrant to PM Partners I LP. Pursuant to the terms of the warrant, the warrantholder has the right to purchase up to 9,666,666 common shares at an initial exercise price of US$1.035 per common shar, subject to adjustments. In connection with this issuance, we submitted a filing application to the CSRC, on February 12, 2026.</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Furthermore, except as disclosed in this annual report, in connection with our issuance of securities to foreign investors, under current laws, regulations and regulatory rules of mainland China, as of the date of this annual report, we, our mainland China subsidiaries and the VIE, (i) are not required to obtain permissions from CSRC, and (ii) have not received or were denied such requisite permissions by any PRC authority. We and the VIE are subject to the risks of uncertainty of any future actions of the PRC government in this regard including the risk that we inadvertently conclude that the permission or approvals discussed here are not required, that applicable laws, regulations or interpretations change such that we and the VIE are required to obtain approvals in the future.</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However, the PRC government has indicated an intent to exert more oversight and control over offerings that are conducted overseas and/or foreign investment in China-based issuers. On December 28, 2021, the Cyberspace Administration of China, together with other authorities, jointly promulgated the Measures for Cybersecurity Reviews, which became effective on February 15, 2022. Pursuant to these measures, critical information infrastructure operators that procure internet products and services must be subject to the cybersecurity review if their activities affect or may affect national security. These measures further stipulate that network platform operators that hold personal information of over one million users shall apply with the Cybersecurity Review Office for a cybersecurity review before any public offering at a foreign stock exchange. These measures remain unclear on whether the requirements will be applicable to further equity or debt offerings by companies that have completed the initial public offering in the United States. In addition to the potential review before foreign listings, the Cyberspace Administration of China has the discretion to initiate cybersecurity review on data processing activities which are deemed to affect or may affect national security. Thus, we cannot preclude the possibility that we would be subject to such ex officio security reviews, and it is uncertain whether the fact of us being listed in the United States would increase such a possibility. On September 24, 2024, the State Council of China published the Regulations on Network Data Security Administration, which took effect on January 1, 2025. The Regulations on Network Data Security Administration provides that data processing operators engaging in network data processing activities that affect or may affect national security must be subject to network data security review by the relevant cyberspace administration of the PRC. “Network data processing activities” refers to the collection, retention, use, processing, transmission, provision, disclosure, deletion, and other activities of network data. Because the Regulations on Network Data Security Administration was newly adopted, uncertainty exists as to how it will be interpreted and implemented by the competent PRC governmental authorities and to what extent they will affect our operations. See “Item 3. Key Information—D. Risk Factors—Risks Related to Our Business and Industry—Our and the VIE’s business generates and processes a large amount of data, and we and the VIE are required to comply with PRC and other applicable laws relating to privacy and cybersecurity. The improper use or disclosure of data could have a material and adverse effect on our and the VIE’s business and prospects.”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the Measures for Cybersecurity Reviews and other cybersecurity laws and regulations of mainland China, critical information infrastructure operators that intend to purchase internet products and services that affect or may affect national security must be subject to the cybersecurity review. As advised by our PRC legal counsel, the PRC governmental authorities may have wide discretion in the interpretation and enforcement of these laws, including the interpretation of the scope of “critical information infrastructure operators.” See “Item 4. Information on the Company—B. Business Overview—Regulations—Regulations on Information Security— Regulations on Personal Information Protection.” In addition, these measures also stipulate that any internet platform operator carrying out data processing activities that affect or may affect national security should also be subject to the cybersecurity review. In anticipation of the strengthened implementation of cybersecurity laws and regulations and the continued expansion of our and the VIE’s business, we and the VIE face potential risks if we and the VIE are deemed as a critical information infrastructure operator under the cybersecurity laws and regulations of mainland China. In such case, we and the VIE must fulfill certain obligations as required under the cybersecurity laws and regulations of mainland China, including, among others, storing personal information and important data collected and produced within the mainland China territory during our operations in mainland China, which we and the VIE have fulfilled in our and the VIE’s business, and we and the VIE may be subject to review when purchasing internet products and services. We and the VIE may be subject to review when conducting data processing activities, and may face challenges in addressing its requirements and make necessary changes to our internal policies and practices in data processing. As of the date of this annual report, we and the VIE have not been involved in any investigations on cybersecurity review made by the Cyberspace Administration of China on such basis, and we and the VIE have not received any inquiry, notice, warning, or sanctions in such respect.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6, 2021, the PRC governmental authorities made public the Opinions on Strictly Cracking Down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construction of regulatory systems to deal with the risks and incidents faced by China-based overseas-listed companies. Official guidance and related implementation rules have not been issued yet and the interpretation of these opinions remains unclear at this stage. See “Item 3. Key Information—D. Risk Factors—Risks Related to Doing Business in China—The approval and/or other requirements of the CSRC or other PRC governmental authorities may be required in connection with an offering under rules, regulations or policies of mainland China, and, if required, we and the VIE cannot predict whether or how soon we will be able to obtain such approval.” As of the date of this annual report, we and the VIE have not received any inquiry, notice, warning, or sanctions regarding offshore offering from the CSRC or any other PRC governmental authorities.</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17, 2023, the CSRC promulgated the Trial Administrative Measures of the Overseas Securities Offering and Listing by Domestic Companies, which took effective on March 31, 2023. According to these measures, among other requirements, (1) domestic companies that seek to offer or list securities overseas, both directly and indirectly, should fulfill the filing procedures with the CSRC; if a domestic company fails to complete the filing procedure, such domestic company may be subject to administrative penalties;</w:t>
      </w:r>
    </w:p>
    <w:p>
      <w:pPr>
        <w:spacing w:after="0" w:line="3" w:lineRule="exact"/>
        <w:rPr>
          <w:sz w:val="20"/>
          <w:szCs w:val="20"/>
          <w:color w:val="auto"/>
        </w:rPr>
      </w:pPr>
    </w:p>
    <w:p>
      <w:pPr>
        <w:jc w:val="both"/>
        <w:ind w:firstLine="8"/>
        <w:spacing w:after="0" w:line="251" w:lineRule="auto"/>
        <w:tabs>
          <w:tab w:leader="none" w:pos="27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issuer meets both of the following conditions, the overseas offering and listing shall be determined as an indirect overseas offering and listing by a domestic company: (i) any of the total assets, net assets, revenues or profits of the domestic operating entities of the issuer in the most recent accounting year accounts for more than 50% of the corresponding figure in the issuer’s audited consolidated financial statements for the same period; (ii) its major operational activities are carried out in China or its main places of business are located in China, or the senior managers in charge of operation and management of the issuer are mostly Chinese citizens or are domiciled in China; and (3) where a domestic company seeks to indirectly offer and list securities in an overseas market, the issuer shall designate a major domestic operating entity responsible for all filing procedures with the CSRC, and such filings shall be submitted to the CSRC within three business days after the submission of the overseas offering and listing application. Further, at the press conference held for these measures on February 17, 2023, officials from the CSRC clarified that the PRC domestic companies that have already been listed overseas on or before the effective date of these measures (i.e., March 31, 2021) shall be deemed as existing issuers. Existing issuers are not required to complete the filing procedures immediately but shall carry out filing procedures as required if they conduct refinancing or are involved in other circumstances that require filing with the CSRC. The officials from the CSRC have also confirmed that for the PRC domestic companies that seek to list overseas with a VIE structure, the CSRC will solicit opinions from regulatory authorities and complete the filing of the overseas listing of companies with VIE structure which meet the compliance requirements.</w:t>
      </w:r>
    </w:p>
    <w:p>
      <w:pPr>
        <w:spacing w:after="0" w:line="19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February 24, 2023, the CSRC, Ministry of Finance of the PRC, National Administration of State Secrets Protection and National Archives Administration of China promulgated the Provisions on Strengthening Confidentiality and Archives Administration of Overseas Securities Offering and Listing by Domestic Companies, which took effect on March 31, 2023. Pursuant to these provisions, domestic companies that seek for overseas offering and listing shall strictly abide by applicable laws and regulations of the PRC and these provisions, enhance legal awareness of keeping state secrets and strengthening archives administration, institute a sound confidentiality and archives administration system, and take necessary measures to fulfill confidentiality and archives administration obligations. Such domestic companies shall not leak any state secret and working secret of government agencies, or harm national security and public interest. Furthermore, a domestic company that plans to, either directly or through its overseas listed entity, publicly disclose or provide to individuals or entities including securities companies, securities service providers and overseas regulators, any document and materials that contain state secrets or working secrets of government agencies, shall first obtain approval from competent authorities according to law, and file with the secrecy administrative department at the same level. Moreover, a domestic company that plans to, either directly or through its overseas listed entity, publicly disclose or provide to individuals and entities including securities companies, securities service providers and overseas regulators, any other documents and materials that, if leaked, will be detrimental to national security or public interest, shall strictly fulfill procedures stipulated by applicable national regulations. These provisions also stipulate that a domestic company that provides accounting archives or copies of accounting archives to any entities including securities companies, securities service providers and overseas regulators and individuals shall fulfill due procedures in compliance with applicable national regulations.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the approval of the CSRC or other PRC government authorities that may be required in connection with our offshore offerings, the VIE is required to obtain and maintain applicable licenses and approvals from different regulatory authorities to provide their current services. Under the current regulatory scheme of mainland China, a number of regulatory agencies, including, but not limited to, the Ministry of Industry and Information Technology, and Cyberspace Administration of China, jointly regulate all major aspects of the internet industry, including the mobile internet business. Operators must obtain government approvals and licenses for telecommunications business. The VIE also provides mobile app data analysis product to both domestic and foreign financial industry clients, and may be considered as engaging in foreign-related investigation business. As such, under the current regulatory scheme of mainland China, the VIE may be required to obtain a foreign-related investigation license. The VIE obtained a foreign-related investigation license in April 2022. See “Item 4. Information on the Company—B. Business Overview—Regulations—Regulations on Telecommunications Services and Foreign Ownership Restrictions” and “Item 4. Information on the Company—B. Business Overview —Regulations—Regulations on Foreign-related Investigation.”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Except as disclosed in this annual report, we believe that we and the VIE are currently not required to obtain any other permission or approval from Chinese authorities to operate our and the VIE’s business or to issue securities in follow-on offerings to foreign investors under the appliable laws and regulations of mainland China currently in effect as of the date of this annual report. However, there is no guarantee that this will continue to be the case in the future in relation to our and the VIE’s business development, a follow-on offering or the continued listing of our securities on a U.S. securities exchange, or even in the event such permission or approval is required and obtained, it will not be subsequently revoked or rescinded. If we or the VIE do not receive or maintain the permissions or approvals, or if we inadvertently conclude that such permissions or approvals are not required, or applicable laws, regulations, or interpretations change such that we and the VIE are required to obtain permission or approval in the future, we and the VIE may be subject to an investigation by competent regulators, fines or penalties, or an order prohibiting us from conducting an offering, and these risks could result in a material adverse change in our and the VIE’s operations and the value of our ADSs, significantly limit or completely hinder our ability to offer or continue to offer securities to investors, or cause such securities to significantly decline in value or become worthless.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Pursuant to the Holding Foreign Companies Accountable Act, which was enacted on December 18, 2020 and further amended by the Consolidated Appropriations Act, 2023 signed into law on December 29, 2022, or the HFCAA, if the Securities and Exchange Commission, or the SEC, determines that we have filed audit reports issued by a registered public accounting firm that has not been subject to inspections by the Public Company Accounting Oversight Board, or the PCAOB, for two consecutive years, the SEC will prohibit our shares or the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In April 2022, the SEC conclusively listed us as a Commission-Identified Issuer under the HFCAA following the filing of our annual report on Form 20-F for the fiscal year ended December 31, 2021. On December 15, 2022, the PCAOB issued a report that vacated its December 16, 2021 determination and removed mainland China and Hong Kong from the list of jurisdictions where it is unable to inspect or investigate completely registered public accounting firms. For this reason, we were not identified as a Commission-Identified Issuer under the HFCAA after we filed our annual report on Form 20-F for the fiscal year ended December 31, 2024 and do not expect to be so identified after we file this annual report on Form 20-F for the fiscal year ended December 31, 2025. 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See “Item 3. Key Information—D. Risk Factors—Risks Related to Doing Business in China— 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 “Item 3. Key Information—D. Risk Factors—Risks Related to Doing Business in China—Our ADSs may be prohibited from trading in the United States under the HFCAA in the future if the PCAOB is unable to inspect or investigate completely auditors located in China. The delisting of trading of the ADSs, or the threat of their being delisted, may materially and adversely affect the value of your investment.”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through Our Organization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Aurora is a holding company with no material operations of its own. We conduct our operations primarily through our WFOE and the VIE. As a result, Aurora’s ability to pay dividends depends upon dividends paid by our WFOE. If our WFOE or any newly formed mainland China subsidiaries incur debt on their own behalf in the future, the instruments governing their debt may restrict their ability to pay dividends to us. In addition, our WFOE is permitted to pay dividends to us only out of its retained earnings, if any, as determined in accordance with mainland China’s accounting standards and regulations. Under the law of mainland China, each of our WFOE and the VIE is required to set aside at least 10% of its after-tax profits each year, if any, to fund certain statutory reserve funds until such reserve funds reach 50% of its registered capital. In addition, our WFOE may allocate a portion of its after-tax profits based on mainland China’s accounting standards to enterprise expansion funds and staff bonus and welfare funds at its discretion, and the VIE may allocate a portion of its after-tax profits based on mainland China’s accounting standards to a discretionary surplus fund at its discretion. The statutory reserve funds and the discretionary funds are not distributable as cash dividends. For more details, see “Item 5. Operating and Financial Review and Prospects—B. Liquidity and Capital Resources—Holding Company Structure.”</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laws and regulations of mainland China, our mainland China subsidiaries and the VIE are subject to certain restrictions with respect to paying dividends or otherwise transferring any of their net assets to us. Remittance of dividends by a wholly foreign-owned company out of mainland China is subject to examination by the banks designated by the State Administration of Foreign Exchange, or the SAFE. Our WFOE has not paid dividends and will not be able to pay dividends until it generates accumulated profits and meets the requirements for statutory reserve funds. As of the date of this annual report, no subsidiaries paid dividends or made other distributions to the holding company, and no dividends or distributions were paid or made to our investors. The net liabilities of the VIE, in which we have no legal ownership, amounted to RMB398 million, RMB159 million and RMB150 million (US$21 million) as of December 31, 2023, 2024 and 2025, respectively. For restrictions and limitations on our ability to distribute earnings from our businesses, including subsidiaries and the VIE, to Aurora and investors as well as the ability to settle amounts owed under the VIE agreements, see “Item 3. Key Information—D. Risk Factors—Risks Related to Doing Business in China—The regulation of mainland China on loans to and direct investment in mainland China entities by offshore holding companies and governmental control of currency conversion may delay or prevent us from using the proceeds of our initial public offering to make loans or additional capital contributions to our mainland China subsidiary, which could materially and adversely affect our liquidity and our ability to fund and expand our business,” “—We may rely on dividends and other distributions on equity paid by our mainland China subsidiary to fund any cash and financing requirements we may have, and any limitation on the ability of our mainland China subsidiary to make payments to us could have a material and adverse effect on our ability to conduct our business” and “—Governmental control of currency conversion may limit our ability to utilize our cash balance effectively and affect the value of your investment”</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subsidiaries and the VIE conduct business transactions that include provision of services and intercompany loans, and collection of employee’s individual income tax from the exercise of share options, subject to satisfaction of applicable government registration and approval requirements. The cash flows occurred between our subsidiaries and the VIE are summarized below:</w:t>
      </w:r>
    </w:p>
    <w:p>
      <w:pPr>
        <w:spacing w:after="0" w:line="183"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000" w:type="dxa"/>
            <w:vAlign w:val="bottom"/>
          </w:tcPr>
          <w:p>
            <w:pPr>
              <w:ind w:left="68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    2024</w:t>
            </w:r>
          </w:p>
        </w:tc>
        <w:tc>
          <w:tcPr>
            <w:tcW w:w="360" w:type="dxa"/>
            <w:vAlign w:val="bottom"/>
            <w:tcBorders>
              <w:top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
        </w:trPr>
        <w:tc>
          <w:tcPr>
            <w:tcW w:w="700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128"/>
        </w:trPr>
        <w:tc>
          <w:tcPr>
            <w:tcW w:w="7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98"/>
        </w:trPr>
        <w:tc>
          <w:tcPr>
            <w:tcW w:w="700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Repayment of loans and interests by the VIE to our WFOE, JPush Information Consulting</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4"/>
        </w:trPr>
        <w:tc>
          <w:tcPr>
            <w:tcW w:w="70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(Shenzhen) Co., Ltd.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65,532</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Employee’s individual income tax from the exercise of share options from our WFOE, JPush</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4"/>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Information Consulting (Shenzhen) Co., Ltd. to the VIE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receivables from VIE and VIE’s subsidiaries to WFOE and other subsidiaries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53,790</w:t>
            </w:r>
          </w:p>
        </w:tc>
      </w:t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receivables from WFOE and other subsidiaries to VIE and VIE’s subsidiaries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31,400</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846"/>
        </w:trPr>
        <w:tc>
          <w:tcPr>
            <w:tcW w:w="700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9</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47"/>
        </w:trPr>
        <w:tc>
          <w:tcPr>
            <w:tcW w:w="70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respect to intercompany loans, the VIE repaid cash to our WFOE amounted to RMB65.5 million, nil and nil for the years ended December 31, 2023, 2024 and 2025, respectively. With respect to the collection of employee’s individual income tax from the exercise of share options, the VIE received cash from our WFOE amounted to RMB16 thousand, RMB12 thousand and RMB60 thousand (US$10 thousand) for the years ended December 31, 2023, 2024 and 2025, respectively, which were then remitted to local tax authorities on behalf of our employees. With respect to intercompany receivables from the VIE to our subsidiaries, the VIE and VIE’s subsidiaries received cash from our WFOE and other subsidiaries amounting to RMB31.4 million for the year ended December 31, 2023, and paid cash to our WFOE and other subsidiaries amounting to RMB44.9 million and RMB53.8 million (US$7.7 million) for the years ended December 31, 2024 and 2025, respectively.</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established stringent cash management policies and procedures for cash flows within our organization. Each transfer of funds among our Cayman Islands holding company, our subsidiaries and the VIE is subject to internal approval. In general, transfer of funds is required to be effected through online banking system. Cash is transferred through our organization primarily in the manner as follows: (i) Aurora may transfer funds to the WFOE, Shenzhen JPush, through its Hong Kong subsidiary, KK Mobile Investment Limited, by additional capital contributions or shareholder loans, as the case may be, (ii) the WFOE may provide loans to the VIE, subject to statutory limits and restrictions, (iii) the VIE may repay loans to the WFOE at a fixed annual rate, and (iv) the WFOE may make dividends or other distributions to Aurora through KK Mobile Investment Limited. Our management is directly supervising cash management. The VIE initiates a cash request by putting forward a cash demand plan, which explains the specific amount and timing of cash requested, and submitting it to the finance department. The cashier specialists of our financial department examine the needs of cash and submit it to the director of financial department or the CEO for final approval. To ensure liquidity, there is no limit on the amount of cash that can be transferred through our organization. However, the annual cash flow plan between the VIE and our WFOE will be determined based on our annual business objectives approved by the board of directors and approved by the CEO. In addition, we monitor our cash balance on a daily basis and conduct periodic review on our cash holdings. See “—Our Holding Company Structure and Contractual Arrangements with the VIE” and “—Financial Information Related to the VIE, Parent and Its Subsidiaries.”</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Aurora has not declared or paid any cash dividends, nor does it has any present plan to pay any cash dividends on our common shares in the foreseeable future. We currently intend to retain most, if not all, of our available funds and any future earnings to operate and expand our business. See “Item 8. Financial Information—A. Consolidated Statements and Other Financial Information—Dividend Policy.” For mainland China and United States federal income tax considerations of an investment in our ADSs, see “Item 10. Additional Information—E. Taxation.”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Related to the VIE, Parent and Its Subsidiaries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provide condensed consolidating schedules depicting the financial position, cash flows, and results of operations for the parent, subsidiaries, the VIE, and any eliminating adjustments and consolidated totals (in thousands of RMB) as of and for the years ended December 31, 2023, 2024 and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Condensed Consolidating Schedule of Results of Operations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vMerge w:val="restart"/>
          </w:tcPr>
          <w:p>
            <w:pPr>
              <w:ind w:left="48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1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2"/>
          </w:tcPr>
          <w:p>
            <w:pPr>
              <w:jc w:val="center"/>
              <w:ind w:right="88"/>
              <w:spacing w:after="0" w:line="118" w:lineRule="exact"/>
              <w:rPr>
                <w:sz w:val="20"/>
                <w:szCs w:val="20"/>
                <w:color w:val="auto"/>
              </w:rPr>
            </w:pPr>
            <w:r>
              <w:rPr>
                <w:rFonts w:ascii="Times New Roman" w:cs="Times New Roman" w:eastAsia="Times New Roman" w:hAnsi="Times New Roman"/>
                <w:sz w:val="13"/>
                <w:szCs w:val="13"/>
                <w:b w:val="1"/>
                <w:bCs w:val="1"/>
                <w:color w:val="auto"/>
              </w:rPr>
              <w:t>VIE and</w:t>
            </w:r>
          </w:p>
        </w:tc>
        <w:tc>
          <w:tcPr>
            <w:tcW w:w="24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gridSpan w:val="5"/>
          </w:tcPr>
          <w:p>
            <w:pPr>
              <w:jc w:val="right"/>
              <w:ind w:right="9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gridSpan w:val="3"/>
          </w:tcPr>
          <w:p>
            <w:pPr>
              <w:jc w:val="right"/>
              <w:ind w:right="802"/>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6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Eliminating</w:t>
            </w:r>
          </w:p>
        </w:tc>
        <w:tc>
          <w:tcPr>
            <w:tcW w:w="120" w:type="dxa"/>
            <w:vAlign w:val="bottom"/>
          </w:tcPr>
          <w:p>
            <w:pPr>
              <w:spacing w:after="0"/>
              <w:rPr>
                <w:sz w:val="12"/>
                <w:szCs w:val="12"/>
                <w:color w:val="auto"/>
              </w:rPr>
            </w:pPr>
          </w:p>
        </w:tc>
        <w:tc>
          <w:tcPr>
            <w:tcW w:w="9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8"/>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(RMB in thousands)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349,192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105,001</w:t>
            </w:r>
          </w:p>
        </w:tc>
        <w:tc>
          <w:tcPr>
            <w:tcW w:w="1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(79,346)</w:t>
            </w: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Income/(loss) from subsidiaries and VIE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(6,340)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(loss)/income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(6,340)</w:t>
            </w: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4920" w:type="dxa"/>
            <w:vAlign w:val="bottom"/>
            <w:vMerge w:val="restart"/>
          </w:tcPr>
          <w:p>
            <w:pPr>
              <w:ind w:left="48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1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9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2"/>
          </w:tcPr>
          <w:p>
            <w:pPr>
              <w:jc w:val="center"/>
              <w:ind w:right="88"/>
              <w:spacing w:after="0" w:line="118" w:lineRule="exact"/>
              <w:rPr>
                <w:sz w:val="20"/>
                <w:szCs w:val="20"/>
                <w:color w:val="auto"/>
              </w:rPr>
            </w:pPr>
            <w:r>
              <w:rPr>
                <w:rFonts w:ascii="Times New Roman" w:cs="Times New Roman" w:eastAsia="Times New Roman" w:hAnsi="Times New Roman"/>
                <w:sz w:val="13"/>
                <w:szCs w:val="13"/>
                <w:b w:val="1"/>
                <w:bCs w:val="1"/>
                <w:color w:val="auto"/>
              </w:rPr>
              <w:t>VIE and</w:t>
            </w:r>
          </w:p>
        </w:tc>
        <w:tc>
          <w:tcPr>
            <w:tcW w:w="24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gridSpan w:val="5"/>
          </w:tcPr>
          <w:p>
            <w:pPr>
              <w:jc w:val="right"/>
              <w:ind w:right="9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gridSpan w:val="3"/>
          </w:tcPr>
          <w:p>
            <w:pPr>
              <w:jc w:val="right"/>
              <w:ind w:right="802"/>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6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Eliminating</w:t>
            </w:r>
          </w:p>
        </w:tc>
        <w:tc>
          <w:tcPr>
            <w:tcW w:w="120" w:type="dxa"/>
            <w:vAlign w:val="bottom"/>
          </w:tcPr>
          <w:p>
            <w:pPr>
              <w:spacing w:after="0"/>
              <w:rPr>
                <w:sz w:val="12"/>
                <w:szCs w:val="12"/>
                <w:color w:val="auto"/>
              </w:rPr>
            </w:pPr>
          </w:p>
        </w:tc>
        <w:tc>
          <w:tcPr>
            <w:tcW w:w="9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8"/>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(RMB in thousands)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306,884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80,874</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center"/>
              <w:ind w:left="58"/>
              <w:spacing w:after="0"/>
              <w:rPr>
                <w:sz w:val="20"/>
                <w:szCs w:val="20"/>
                <w:color w:val="auto"/>
              </w:rPr>
            </w:pPr>
            <w:r>
              <w:rPr>
                <w:rFonts w:ascii="Times New Roman" w:cs="Times New Roman" w:eastAsia="Times New Roman" w:hAnsi="Times New Roman"/>
                <w:sz w:val="18"/>
                <w:szCs w:val="18"/>
                <w:color w:val="auto"/>
                <w:w w:val="97"/>
              </w:rPr>
              <w:t>(71,588)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316,170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Income/(loss) from subsidiaries and VIE</w:t>
            </w:r>
          </w:p>
        </w:tc>
        <w:tc>
          <w:tcPr>
            <w:tcW w:w="66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373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center"/>
              <w:ind w:left="58"/>
              <w:spacing w:after="0"/>
              <w:rPr>
                <w:sz w:val="20"/>
                <w:szCs w:val="20"/>
                <w:color w:val="auto"/>
              </w:rPr>
            </w:pPr>
            <w:r>
              <w:rPr>
                <w:rFonts w:ascii="Times New Roman" w:cs="Times New Roman" w:eastAsia="Times New Roman" w:hAnsi="Times New Roman"/>
                <w:sz w:val="18"/>
                <w:szCs w:val="18"/>
                <w:color w:val="auto"/>
              </w:rPr>
              <w:t>(373)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5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(loss)/income</w:t>
            </w:r>
          </w:p>
        </w:tc>
        <w:tc>
          <w:tcPr>
            <w:tcW w:w="6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98"/>
              </w:rPr>
              <w:t>(7,046)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2,266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center"/>
              <w:ind w:left="58"/>
              <w:spacing w:after="0"/>
              <w:rPr>
                <w:sz w:val="20"/>
                <w:szCs w:val="20"/>
                <w:color w:val="auto"/>
              </w:rPr>
            </w:pPr>
            <w:r>
              <w:rPr>
                <w:rFonts w:ascii="Times New Roman" w:cs="Times New Roman" w:eastAsia="Times New Roman" w:hAnsi="Times New Roman"/>
                <w:sz w:val="18"/>
                <w:szCs w:val="18"/>
                <w:color w:val="auto"/>
              </w:rPr>
              <w:t>(373)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(6,769)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5080" w:type="dxa"/>
            <w:vAlign w:val="bottom"/>
            <w:gridSpan w:val="5"/>
          </w:tcPr>
          <w:p>
            <w:pPr>
              <w:ind w:left="48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gridSpan w:val="1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940" w:type="dxa"/>
            <w:vAlign w:val="bottom"/>
            <w:gridSpan w:val="2"/>
          </w:tcPr>
          <w:p>
            <w:pPr>
              <w:ind w:left="48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Borders>
              <w:top w:val="single" w:sz="8" w:color="auto"/>
            </w:tcBorders>
            <w:gridSpan w:val="2"/>
          </w:tcPr>
          <w:p>
            <w:pPr>
              <w:jc w:val="center"/>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VIE and</w:t>
            </w:r>
          </w:p>
        </w:tc>
        <w:tc>
          <w:tcPr>
            <w:tcW w:w="240" w:type="dxa"/>
            <w:vAlign w:val="bottom"/>
            <w:tcBorders>
              <w:top w:val="single" w:sz="8" w:color="auto"/>
            </w:tcBorders>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top w:val="single" w:sz="8" w:color="auto"/>
            </w:tcBorders>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tcBorders>
              <w:top w:val="single" w:sz="8" w:color="auto"/>
            </w:tcBorders>
            <w:gridSpan w:val="5"/>
          </w:tcPr>
          <w:p>
            <w:pPr>
              <w:jc w:val="right"/>
              <w:ind w:right="9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Borders>
              <w:top w:val="single" w:sz="8" w:color="auto"/>
            </w:tcBorders>
            <w:gridSpan w:val="3"/>
          </w:tcPr>
          <w:p>
            <w:pPr>
              <w:jc w:val="right"/>
              <w:ind w:right="802"/>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6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Eliminating</w:t>
            </w:r>
          </w:p>
        </w:tc>
        <w:tc>
          <w:tcPr>
            <w:tcW w:w="120" w:type="dxa"/>
            <w:vAlign w:val="bottom"/>
          </w:tcPr>
          <w:p>
            <w:pPr>
              <w:spacing w:after="0"/>
              <w:rPr>
                <w:sz w:val="12"/>
                <w:szCs w:val="12"/>
                <w:color w:val="auto"/>
              </w:rPr>
            </w:pPr>
          </w:p>
        </w:tc>
        <w:tc>
          <w:tcPr>
            <w:tcW w:w="9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8"/>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(RMB in thousands)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285,304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70,864</w:t>
            </w:r>
          </w:p>
        </w:tc>
        <w:tc>
          <w:tcPr>
            <w:tcW w:w="1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(65,936)</w:t>
            </w: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Loss from subsidiaries and VIE</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(45,933)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45,933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(62,098)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(45,313)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(1,190)</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0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Condensed Consolidating Schedule of Financial Position</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80" w:type="dxa"/>
            <w:vAlign w:val="bottom"/>
            <w:gridSpan w:val="5"/>
          </w:tcPr>
          <w:p>
            <w:pPr>
              <w:ind w:left="48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gridSpan w:val="1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980" w:type="dxa"/>
            <w:vAlign w:val="bottom"/>
            <w:gridSpan w:val="4"/>
          </w:tcPr>
          <w:p>
            <w:pPr>
              <w:ind w:left="48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060" w:type="dxa"/>
            <w:vAlign w:val="bottom"/>
            <w:tcBorders>
              <w:top w:val="single" w:sz="8" w:color="auto"/>
            </w:tcBorders>
            <w:gridSpan w:val="4"/>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​​​VIE and VIE’s</w:t>
            </w: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gridSpan w:val="3"/>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top w:val="single" w:sz="8" w:color="auto"/>
            </w:tcBorders>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1020" w:type="dxa"/>
            <w:vAlign w:val="bottom"/>
            <w:tcBorders>
              <w:top w:val="single" w:sz="8" w:color="auto"/>
            </w:tcBorders>
            <w:gridSpan w:val="5"/>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​​​Eliminating</w:t>
            </w:r>
          </w:p>
        </w:tc>
        <w:tc>
          <w:tcPr>
            <w:tcW w:w="1000" w:type="dxa"/>
            <w:vAlign w:val="bottom"/>
            <w:tcBorders>
              <w:top w:val="single" w:sz="8" w:color="auto"/>
            </w:tcBorders>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960" w:type="dxa"/>
            <w:vAlign w:val="bottom"/>
            <w:tcBorders>
              <w:top w:val="single" w:sz="8" w:color="CCEE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and cash equivalents</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23,208</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72,919</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71,828</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gridSpan w:val="2"/>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41,903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388,269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769,107</w:t>
            </w:r>
          </w:p>
        </w:tc>
        <w:tc>
          <w:tcPr>
            <w:tcW w:w="10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(967,316)</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272,540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2,025,799</w:t>
            </w:r>
          </w:p>
        </w:tc>
        <w:tc>
          <w:tcPr>
            <w:tcW w:w="102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(2,298,339)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311,180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137,846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2,033,515</w:t>
            </w:r>
          </w:p>
        </w:tc>
        <w:tc>
          <w:tcPr>
            <w:tcW w:w="10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(2,298,339)</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353,083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526,115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2,802,622</w:t>
            </w:r>
          </w:p>
        </w:tc>
        <w:tc>
          <w:tcPr>
            <w:tcW w:w="102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(3,265,655)</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416,165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287,285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675,963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335,782</w:t>
            </w:r>
          </w:p>
        </w:tc>
        <w:tc>
          <w:tcPr>
            <w:tcW w:w="10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(982,290)</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equity/(deficit)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65,798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4"/>
          </w:tcPr>
          <w:p>
            <w:pPr>
              <w:jc w:val="right"/>
              <w:ind w:right="33"/>
              <w:spacing w:after="0"/>
              <w:rPr>
                <w:sz w:val="20"/>
                <w:szCs w:val="20"/>
                <w:color w:val="auto"/>
              </w:rPr>
            </w:pPr>
            <w:r>
              <w:rPr>
                <w:rFonts w:ascii="Times New Roman" w:cs="Times New Roman" w:eastAsia="Times New Roman" w:hAnsi="Times New Roman"/>
                <w:sz w:val="16"/>
                <w:szCs w:val="16"/>
                <w:color w:val="auto"/>
              </w:rPr>
              <w:t>(149,848)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2,466,840</w:t>
            </w:r>
          </w:p>
        </w:tc>
        <w:tc>
          <w:tcPr>
            <w:tcW w:w="102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(2,283,365)</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99,425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353,083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526,115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2,802,622</w:t>
            </w:r>
          </w:p>
        </w:tc>
        <w:tc>
          <w:tcPr>
            <w:tcW w:w="10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(3,265,655)</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5080" w:type="dxa"/>
            <w:vAlign w:val="bottom"/>
            <w:gridSpan w:val="5"/>
          </w:tcPr>
          <w:p>
            <w:pPr>
              <w:ind w:left="4880"/>
              <w:spacing w:after="0"/>
              <w:rPr>
                <w:sz w:val="20"/>
                <w:szCs w:val="20"/>
                <w:color w:val="auto"/>
              </w:rPr>
            </w:pPr>
            <w:r>
              <w:rPr>
                <w:rFonts w:ascii="Times New Roman" w:cs="Times New Roman" w:eastAsia="Times New Roman" w:hAnsi="Times New Roman"/>
                <w:sz w:val="18"/>
                <w:szCs w:val="18"/>
                <w:color w:val="auto"/>
                <w:w w:val="99"/>
              </w:rPr>
              <w:t>11</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1060" w:type="dxa"/>
            <w:vAlign w:val="bottom"/>
            <w:gridSpan w:val="3"/>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1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720" w:type="dxa"/>
            <w:vAlign w:val="bottom"/>
          </w:tcPr>
          <w:p>
            <w:pPr>
              <w:spacing w:after="0"/>
              <w:rPr>
                <w:sz w:val="10"/>
                <w:szCs w:val="10"/>
                <w:color w:val="auto"/>
              </w:rPr>
            </w:pPr>
          </w:p>
        </w:tc>
        <w:tc>
          <w:tcPr>
            <w:tcW w:w="1060" w:type="dxa"/>
            <w:vAlign w:val="bottom"/>
            <w:gridSpan w:val="3"/>
          </w:tcPr>
          <w:p>
            <w:pPr>
              <w:jc w:val="right"/>
              <w:ind w:right="8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gridSpan w:val="5"/>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​​​VIE and VIE’s</w:t>
            </w:r>
          </w:p>
        </w:tc>
        <w:tc>
          <w:tcPr>
            <w:tcW w:w="18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1060" w:type="dxa"/>
            <w:vAlign w:val="bottom"/>
            <w:gridSpan w:val="5"/>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 Eliminating</w:t>
            </w:r>
          </w:p>
        </w:tc>
        <w:tc>
          <w:tcPr>
            <w:tcW w:w="98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gridSpan w:val="8"/>
          </w:tcPr>
          <w:p>
            <w:pPr>
              <w:jc w:val="center"/>
              <w:ind w:left="742"/>
              <w:spacing w:after="0" w:line="129"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20,776</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377,781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685,803</w:t>
            </w:r>
          </w:p>
        </w:tc>
        <w:tc>
          <w:tcPr>
            <w:tcW w:w="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(899,745)</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269,704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2,065,578</w:t>
            </w:r>
          </w:p>
        </w:tc>
        <w:tc>
          <w:tcPr>
            <w:tcW w:w="40" w:type="dxa"/>
            <w:vAlign w:val="bottom"/>
          </w:tcPr>
          <w:p>
            <w:pPr>
              <w:spacing w:after="0"/>
              <w:rPr>
                <w:sz w:val="18"/>
                <w:szCs w:val="18"/>
                <w:color w:val="auto"/>
              </w:rPr>
            </w:pPr>
          </w:p>
        </w:tc>
        <w:tc>
          <w:tcPr>
            <w:tcW w:w="10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(2,335,282)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309,220</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144,091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2,075,389</w:t>
            </w:r>
          </w:p>
        </w:tc>
        <w:tc>
          <w:tcPr>
            <w:tcW w:w="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(2,335,282)</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329,996</w:t>
            </w:r>
          </w:p>
        </w:tc>
        <w:tc>
          <w:tcPr>
            <w:tcW w:w="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521,872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2,761,192</w:t>
            </w:r>
          </w:p>
        </w:tc>
        <w:tc>
          <w:tcPr>
            <w:tcW w:w="40" w:type="dxa"/>
            <w:vAlign w:val="bottom"/>
          </w:tcPr>
          <w:p>
            <w:pPr>
              <w:spacing w:after="0"/>
              <w:rPr>
                <w:sz w:val="18"/>
                <w:szCs w:val="18"/>
                <w:color w:val="auto"/>
              </w:rPr>
            </w:pPr>
          </w:p>
        </w:tc>
        <w:tc>
          <w:tcPr>
            <w:tcW w:w="10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(3,235,027)</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378,033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262,074</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680,377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257,170</w:t>
            </w:r>
          </w:p>
        </w:tc>
        <w:tc>
          <w:tcPr>
            <w:tcW w:w="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(920,986)</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Total equity/(deficit)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67,922</w:t>
            </w:r>
          </w:p>
        </w:tc>
        <w:tc>
          <w:tcPr>
            <w:tcW w:w="80" w:type="dxa"/>
            <w:vAlign w:val="bottom"/>
          </w:tcPr>
          <w:p>
            <w:pPr>
              <w:spacing w:after="0"/>
              <w:rPr>
                <w:sz w:val="18"/>
                <w:szCs w:val="18"/>
                <w:color w:val="auto"/>
              </w:rPr>
            </w:pPr>
          </w:p>
        </w:tc>
        <w:tc>
          <w:tcPr>
            <w:tcW w:w="10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(158,505)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2,504,022</w:t>
            </w:r>
          </w:p>
        </w:tc>
        <w:tc>
          <w:tcPr>
            <w:tcW w:w="40" w:type="dxa"/>
            <w:vAlign w:val="bottom"/>
          </w:tcPr>
          <w:p>
            <w:pPr>
              <w:spacing w:after="0"/>
              <w:rPr>
                <w:sz w:val="18"/>
                <w:szCs w:val="18"/>
                <w:color w:val="auto"/>
              </w:rPr>
            </w:pPr>
          </w:p>
        </w:tc>
        <w:tc>
          <w:tcPr>
            <w:tcW w:w="10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(2,314,041)</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99,398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329,996</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521,872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2,761,192</w:t>
            </w:r>
          </w:p>
        </w:tc>
        <w:tc>
          <w:tcPr>
            <w:tcW w:w="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(3,235,027)</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1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720" w:type="dxa"/>
            <w:vAlign w:val="bottom"/>
          </w:tcPr>
          <w:p>
            <w:pPr>
              <w:spacing w:after="0"/>
              <w:rPr>
                <w:sz w:val="10"/>
                <w:szCs w:val="10"/>
                <w:color w:val="auto"/>
              </w:rPr>
            </w:pPr>
          </w:p>
        </w:tc>
        <w:tc>
          <w:tcPr>
            <w:tcW w:w="1060" w:type="dxa"/>
            <w:vAlign w:val="bottom"/>
            <w:gridSpan w:val="3"/>
          </w:tcPr>
          <w:p>
            <w:pPr>
              <w:jc w:val="right"/>
              <w:ind w:right="8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gridSpan w:val="5"/>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​​​VIE and VIE’s</w:t>
            </w:r>
          </w:p>
        </w:tc>
        <w:tc>
          <w:tcPr>
            <w:tcW w:w="18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1060" w:type="dxa"/>
            <w:vAlign w:val="bottom"/>
            <w:gridSpan w:val="5"/>
          </w:tcPr>
          <w:p>
            <w:pPr>
              <w:jc w:val="right"/>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 Eliminating</w:t>
            </w:r>
          </w:p>
        </w:tc>
        <w:tc>
          <w:tcPr>
            <w:tcW w:w="98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4"/>
          </w:tcPr>
          <w:p>
            <w:pPr>
              <w:ind w:left="720"/>
              <w:spacing w:after="0" w:line="129" w:lineRule="exact"/>
              <w:rPr>
                <w:sz w:val="20"/>
                <w:szCs w:val="20"/>
                <w:color w:val="auto"/>
              </w:rPr>
            </w:pPr>
            <w:r>
              <w:rPr>
                <w:rFonts w:ascii="Times New Roman" w:cs="Times New Roman" w:eastAsia="Times New Roman" w:hAnsi="Times New Roman"/>
                <w:sz w:val="14"/>
                <w:szCs w:val="14"/>
                <w:b w:val="1"/>
                <w:bCs w:val="1"/>
                <w:color w:val="auto"/>
                <w:w w:val="74"/>
              </w:rPr>
              <w:t>(RMB</w:t>
            </w:r>
          </w:p>
        </w:tc>
        <w:tc>
          <w:tcPr>
            <w:tcW w:w="8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82,860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18,649</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347,537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689,789</w:t>
            </w:r>
          </w:p>
        </w:tc>
        <w:tc>
          <w:tcPr>
            <w:tcW w:w="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(886,399)</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262,697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1,802,075</w:t>
            </w:r>
          </w:p>
        </w:tc>
        <w:tc>
          <w:tcPr>
            <w:tcW w:w="4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(2,064,772)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301,634</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141,615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2,004,235</w:t>
            </w:r>
          </w:p>
        </w:tc>
        <w:tc>
          <w:tcPr>
            <w:tcW w:w="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(2,266,873)</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320,283</w:t>
            </w:r>
          </w:p>
        </w:tc>
        <w:tc>
          <w:tcPr>
            <w:tcW w:w="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489,152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2,694,024</w:t>
            </w:r>
          </w:p>
        </w:tc>
        <w:tc>
          <w:tcPr>
            <w:tcW w:w="4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(3,153,272)</w:t>
            </w:r>
          </w:p>
        </w:tc>
        <w:tc>
          <w:tcPr>
            <w:tcW w:w="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350,187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246,735</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887,572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218,139</w:t>
            </w:r>
          </w:p>
        </w:tc>
        <w:tc>
          <w:tcPr>
            <w:tcW w:w="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(1,105,980)</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Total equity/(deficit)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73,548</w:t>
            </w:r>
          </w:p>
        </w:tc>
        <w:tc>
          <w:tcPr>
            <w:tcW w:w="8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(398,420)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2,475,885</w:t>
            </w:r>
          </w:p>
        </w:tc>
        <w:tc>
          <w:tcPr>
            <w:tcW w:w="4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(2,047,292)</w:t>
            </w:r>
          </w:p>
        </w:tc>
        <w:tc>
          <w:tcPr>
            <w:tcW w:w="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103,721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320,283</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489,152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2,694,024</w:t>
            </w:r>
          </w:p>
        </w:tc>
        <w:tc>
          <w:tcPr>
            <w:tcW w:w="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(3,153,272)</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Condensed Consolidating Schedules of Cash Flows</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720" w:type="dxa"/>
            <w:vAlign w:val="bottom"/>
          </w:tcPr>
          <w:p>
            <w:pPr>
              <w:spacing w:after="0"/>
              <w:rPr>
                <w:sz w:val="24"/>
                <w:szCs w:val="24"/>
                <w:color w:val="auto"/>
              </w:rPr>
            </w:pPr>
          </w:p>
        </w:tc>
        <w:tc>
          <w:tcPr>
            <w:tcW w:w="106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1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720" w:type="dxa"/>
            <w:vAlign w:val="bottom"/>
          </w:tcPr>
          <w:p>
            <w:pPr>
              <w:spacing w:after="0"/>
              <w:rPr>
                <w:sz w:val="10"/>
                <w:szCs w:val="10"/>
                <w:color w:val="auto"/>
              </w:rPr>
            </w:pPr>
          </w:p>
        </w:tc>
        <w:tc>
          <w:tcPr>
            <w:tcW w:w="2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top w:val="single" w:sz="8" w:color="auto"/>
            </w:tcBorders>
            <w:gridSpan w:val="2"/>
          </w:tcPr>
          <w:p>
            <w:pPr>
              <w:spacing w:after="0"/>
              <w:rPr>
                <w:sz w:val="10"/>
                <w:szCs w:val="10"/>
                <w:color w:val="auto"/>
              </w:rPr>
            </w:pPr>
          </w:p>
        </w:tc>
        <w:tc>
          <w:tcPr>
            <w:tcW w:w="1080" w:type="dxa"/>
            <w:vAlign w:val="bottom"/>
            <w:tcBorders>
              <w:top w:val="single" w:sz="8" w:color="auto"/>
            </w:tcBorders>
            <w:gridSpan w:val="5"/>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  VIE and</w:t>
            </w:r>
          </w:p>
        </w:tc>
        <w:tc>
          <w:tcPr>
            <w:tcW w:w="180" w:type="dxa"/>
            <w:vAlign w:val="bottom"/>
            <w:tcBorders>
              <w:top w:val="single" w:sz="8" w:color="auto"/>
            </w:tcBorders>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60" w:type="dxa"/>
            <w:vAlign w:val="bottom"/>
            <w:tcBorders>
              <w:top w:val="single" w:sz="8" w:color="auto"/>
            </w:tcBorders>
            <w:gridSpan w:val="5"/>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Borders>
              <w:top w:val="single" w:sz="8" w:color="auto"/>
            </w:tcBorders>
            <w:gridSpan w:val="3"/>
          </w:tcPr>
          <w:p>
            <w:pPr>
              <w:jc w:val="right"/>
              <w:ind w:right="762"/>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VIE’s</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Eliminating</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6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40" w:type="dxa"/>
            <w:vAlign w:val="bottom"/>
            <w:gridSpan w:val="8"/>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84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19,477</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51,433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(2,192)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(5,265)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(5,047)</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exchange rate fluctuation on cash and cash equivalents</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restricted cash</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5,487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(6,075)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(589)</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 and restricted cash</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19,917</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40,093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cash equivalents and restricted cash at the beginning of</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year</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3,291</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84,136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32,120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119,547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year</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23,208</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72,919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72,212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4720" w:type="dxa"/>
            <w:vAlign w:val="bottom"/>
          </w:tcPr>
          <w:p>
            <w:pPr>
              <w:spacing w:after="0"/>
              <w:rPr>
                <w:sz w:val="24"/>
                <w:szCs w:val="24"/>
                <w:color w:val="auto"/>
              </w:rPr>
            </w:pPr>
          </w:p>
        </w:tc>
        <w:tc>
          <w:tcPr>
            <w:tcW w:w="980" w:type="dxa"/>
            <w:vAlign w:val="bottom"/>
            <w:gridSpan w:val="2"/>
          </w:tcPr>
          <w:p>
            <w:pPr>
              <w:jc w:val="right"/>
              <w:ind w:right="559"/>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900" w:type="dxa"/>
            <w:vAlign w:val="bottom"/>
            <w:gridSpan w:val="7"/>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top w:val="single" w:sz="8" w:color="auto"/>
            </w:tcBorders>
            <w:gridSpan w:val="2"/>
          </w:tcPr>
          <w:p>
            <w:pPr>
              <w:spacing w:after="0"/>
              <w:rPr>
                <w:sz w:val="10"/>
                <w:szCs w:val="10"/>
                <w:color w:val="auto"/>
              </w:rPr>
            </w:pPr>
          </w:p>
        </w:tc>
        <w:tc>
          <w:tcPr>
            <w:tcW w:w="180" w:type="dxa"/>
            <w:vAlign w:val="bottom"/>
            <w:tcBorders>
              <w:top w:val="single" w:sz="8" w:color="auto"/>
            </w:tcBorders>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VIE and</w:t>
            </w:r>
          </w:p>
        </w:tc>
        <w:tc>
          <w:tcPr>
            <w:tcW w:w="1060" w:type="dxa"/>
            <w:vAlign w:val="bottom"/>
            <w:tcBorders>
              <w:top w:val="single" w:sz="8" w:color="auto"/>
            </w:tcBorders>
            <w:gridSpan w:val="3"/>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Borders>
              <w:top w:val="single" w:sz="8" w:color="auto"/>
            </w:tcBorders>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Borders>
              <w:top w:val="single" w:sz="8" w:color="auto"/>
            </w:tcBorders>
            <w:gridSpan w:val="2"/>
          </w:tcPr>
          <w:p>
            <w:pPr>
              <w:jc w:val="right"/>
              <w:ind w:right="80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6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200" w:type="dxa"/>
            <w:vAlign w:val="bottom"/>
          </w:tcPr>
          <w:p>
            <w:pPr>
              <w:spacing w:after="0"/>
              <w:rPr>
                <w:sz w:val="12"/>
                <w:szCs w:val="12"/>
                <w:color w:val="auto"/>
              </w:rPr>
            </w:pPr>
          </w:p>
        </w:tc>
        <w:tc>
          <w:tcPr>
            <w:tcW w:w="8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Eliminating</w:t>
            </w:r>
          </w:p>
        </w:tc>
        <w:tc>
          <w:tcPr>
            <w:tcW w:w="16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(RMB in thousands)</w:t>
            </w: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7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(939)</w:t>
            </w: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0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20" w:type="dxa"/>
            <w:vAlign w:val="bottom"/>
            <w:gridSpan w:val="6"/>
          </w:tcPr>
          <w:p>
            <w:pPr>
              <w:spacing w:after="0" w:line="198" w:lineRule="exact"/>
              <w:rPr>
                <w:sz w:val="20"/>
                <w:szCs w:val="20"/>
                <w:color w:val="auto"/>
              </w:rPr>
            </w:pPr>
            <w:r>
              <w:rPr>
                <w:rFonts w:ascii="Times New Roman" w:cs="Times New Roman" w:eastAsia="Times New Roman" w:hAnsi="Times New Roman"/>
                <w:sz w:val="18"/>
                <w:szCs w:val="18"/>
                <w:color w:val="auto"/>
              </w:rPr>
              <w:t>Effect of exchange rate fluctuation on cash and cash equivalents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and restricted cash</w:t>
            </w: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(4,544)</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(4,693)</w:t>
            </w:r>
          </w:p>
        </w:tc>
        <w:tc>
          <w:tcPr>
            <w:tcW w:w="1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 and restricted cash</w:t>
            </w:r>
          </w:p>
        </w:tc>
        <w:tc>
          <w:tcPr>
            <w:tcW w:w="10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20" w:type="dxa"/>
            <w:vAlign w:val="bottom"/>
            <w:gridSpan w:val="6"/>
          </w:tcPr>
          <w:p>
            <w:pPr>
              <w:spacing w:after="0" w:line="198" w:lineRule="exact"/>
              <w:rPr>
                <w:sz w:val="20"/>
                <w:szCs w:val="20"/>
                <w:color w:val="auto"/>
              </w:rPr>
            </w:pPr>
            <w:r>
              <w:rPr>
                <w:rFonts w:ascii="Times New Roman" w:cs="Times New Roman" w:eastAsia="Times New Roman" w:hAnsi="Times New Roman"/>
                <w:sz w:val="18"/>
                <w:szCs w:val="18"/>
                <w:color w:val="auto"/>
              </w:rPr>
              <w:t>Cash, cash equivalents and restricted cash at the beginning of</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year</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82,992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28,687</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115,007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year</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00" w:type="dxa"/>
            <w:vAlign w:val="bottom"/>
            <w:gridSpan w:val="7"/>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top w:val="single" w:sz="8" w:color="auto"/>
            </w:tcBorders>
            <w:gridSpan w:val="2"/>
          </w:tcPr>
          <w:p>
            <w:pPr>
              <w:spacing w:after="0"/>
              <w:rPr>
                <w:sz w:val="10"/>
                <w:szCs w:val="10"/>
                <w:color w:val="auto"/>
              </w:rPr>
            </w:pPr>
          </w:p>
        </w:tc>
        <w:tc>
          <w:tcPr>
            <w:tcW w:w="180" w:type="dxa"/>
            <w:vAlign w:val="bottom"/>
            <w:tcBorders>
              <w:top w:val="single" w:sz="8" w:color="auto"/>
            </w:tcBorders>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VIE and</w:t>
            </w:r>
          </w:p>
        </w:tc>
        <w:tc>
          <w:tcPr>
            <w:tcW w:w="1060" w:type="dxa"/>
            <w:vAlign w:val="bottom"/>
            <w:tcBorders>
              <w:top w:val="single" w:sz="8" w:color="auto"/>
            </w:tcBorders>
            <w:gridSpan w:val="3"/>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Borders>
              <w:top w:val="single" w:sz="8" w:color="auto"/>
            </w:tcBorders>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Borders>
              <w:top w:val="single" w:sz="8" w:color="auto"/>
            </w:tcBorders>
            <w:gridSpan w:val="2"/>
          </w:tcPr>
          <w:p>
            <w:pPr>
              <w:jc w:val="right"/>
              <w:ind w:right="80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6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200" w:type="dxa"/>
            <w:vAlign w:val="bottom"/>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Eliminating</w:t>
            </w:r>
          </w:p>
        </w:tc>
        <w:tc>
          <w:tcPr>
            <w:tcW w:w="16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(RMB in thousands)</w:t>
            </w: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7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0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(23,234)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55,921</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(50,594)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57,906</w:t>
            </w:r>
          </w:p>
        </w:tc>
        <w:tc>
          <w:tcPr>
            <w:tcW w:w="4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(54,900)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(3,651)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54,900</w:t>
            </w:r>
          </w:p>
        </w:tc>
        <w:tc>
          <w:tcPr>
            <w:tcW w:w="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20" w:type="dxa"/>
            <w:vAlign w:val="bottom"/>
            <w:gridSpan w:val="6"/>
          </w:tcPr>
          <w:p>
            <w:pPr>
              <w:spacing w:after="0" w:line="198" w:lineRule="exact"/>
              <w:rPr>
                <w:sz w:val="20"/>
                <w:szCs w:val="20"/>
                <w:color w:val="auto"/>
              </w:rPr>
            </w:pPr>
            <w:r>
              <w:rPr>
                <w:rFonts w:ascii="Times New Roman" w:cs="Times New Roman" w:eastAsia="Times New Roman" w:hAnsi="Times New Roman"/>
                <w:sz w:val="18"/>
                <w:szCs w:val="18"/>
                <w:color w:val="auto"/>
              </w:rPr>
              <w:t>Effect of exchange rate fluctuation on cash and cash equivalents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and restricted cash</w:t>
            </w: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(3,658)</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 and restricted cash</w:t>
            </w:r>
          </w:p>
        </w:tc>
        <w:tc>
          <w:tcPr>
            <w:tcW w:w="10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(30,543)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20" w:type="dxa"/>
            <w:vAlign w:val="bottom"/>
            <w:gridSpan w:val="6"/>
          </w:tcPr>
          <w:p>
            <w:pPr>
              <w:spacing w:after="0" w:line="198" w:lineRule="exact"/>
              <w:rPr>
                <w:sz w:val="20"/>
                <w:szCs w:val="20"/>
                <w:color w:val="auto"/>
              </w:rPr>
            </w:pPr>
            <w:r>
              <w:rPr>
                <w:rFonts w:ascii="Times New Roman" w:cs="Times New Roman" w:eastAsia="Times New Roman" w:hAnsi="Times New Roman"/>
                <w:sz w:val="18"/>
                <w:szCs w:val="18"/>
                <w:color w:val="auto"/>
              </w:rPr>
              <w:t>Cash, cash equivalents and restricted cash at the beginning of</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year</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33,871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17,538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116,260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year</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43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24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Capitalization and Indebtedness</w:t>
            </w:r>
          </w:p>
        </w:tc>
        <w:tc>
          <w:tcPr>
            <w:tcW w:w="190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40" w:type="dxa"/>
            <w:vAlign w:val="bottom"/>
          </w:tcPr>
          <w:p>
            <w:pPr>
              <w:spacing w:after="0"/>
              <w:rPr>
                <w:sz w:val="24"/>
                <w:szCs w:val="24"/>
                <w:color w:val="auto"/>
              </w:rPr>
            </w:pPr>
          </w:p>
        </w:tc>
        <w:tc>
          <w:tcPr>
            <w:tcW w:w="438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  Reasons for the Offer and Use of Proceeds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40" w:type="dxa"/>
            <w:vAlign w:val="bottom"/>
          </w:tcPr>
          <w:p>
            <w:pPr>
              <w:spacing w:after="0"/>
              <w:rPr>
                <w:sz w:val="24"/>
                <w:szCs w:val="24"/>
                <w:color w:val="auto"/>
              </w:rPr>
            </w:pPr>
          </w:p>
        </w:tc>
        <w:tc>
          <w:tcPr>
            <w:tcW w:w="3240" w:type="dxa"/>
            <w:vAlign w:val="bottom"/>
            <w:tcBorders>
              <w:top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43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Investing in our ADSs involves significant risks. You should carefully consider all of the information in this annual report before making an investment in our ADSs. Below is a summary of material risks we and the VIE face, organized under relevant headings. These risks are discussed more fully in “Item 3. Key Information—D. Risk Factors.”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and the VIE are subject to risks and uncertainties related to our and the VIE’s business and industry, including, but not limited to, the following:</w:t>
      </w:r>
    </w:p>
    <w:p>
      <w:pPr>
        <w:spacing w:after="0" w:line="162" w:lineRule="exact"/>
        <w:rPr>
          <w:sz w:val="20"/>
          <w:szCs w:val="20"/>
          <w:color w:val="auto"/>
        </w:rPr>
      </w:pPr>
    </w:p>
    <w:p>
      <w:pPr>
        <w:ind w:left="1000" w:hanging="31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performance may not be indicative of our future performance;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which we may continue to experience in the future;</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successfully execute our strategy and continue to develop and effectively market SAAS Businesses and our other business initiatives that anticipate and respond to the needs of app developers and our customers, our business, operating results and financial condition may suffer;</w:t>
      </w:r>
    </w:p>
    <w:p>
      <w:pPr>
        <w:spacing w:after="0" w:line="17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continue to gain access to mobile data in the future, our business, operating results and financial condition could be materially and adversely affected;</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for our SAAS Businesses and other business initiatives develops more slowly than we expect, our operating results could be harmed;</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the VIE’s business generates and processes a large amount of data, and we and the VIE are required to comply with PRC and other applicable laws relating to privacy and cybersecurity. The improper use or disclosure of data could have a material and adverse effect on our and the VIE’s business and prospects;</w:t>
      </w:r>
    </w:p>
    <w:p>
      <w:pPr>
        <w:spacing w:after="0" w:line="17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strong brand and failing to maintain and enhance our brand would hurt our ability to expand our base of app developers and customers;</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artificial intelligence industry is subject to evolving and extensive regulations. The adoption and use of artificial intelligence in our product offerings may subject us to potential infringement claims and increase our regulatory compliance costs;</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keep up with rapid changes in technologies, our future success may be adversely affected;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successfully with our current or future competitors.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Corporate Structure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and the VIE are also subject to risks and uncertainties related to our corporate structure, including, but not limited to, the following:</w:t>
      </w:r>
    </w:p>
    <w:p>
      <w:pPr>
        <w:spacing w:after="0" w:line="162" w:lineRule="exact"/>
        <w:rPr>
          <w:sz w:val="20"/>
          <w:szCs w:val="20"/>
          <w:color w:val="auto"/>
        </w:rPr>
      </w:pPr>
    </w:p>
    <w:p>
      <w:pPr>
        <w:jc w:val="both"/>
        <w:ind w:left="1000" w:hanging="317"/>
        <w:spacing w:after="0" w:line="253"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Aurora is a Cayman Islands holding company with no equity ownership in the VIE, and we conduct our operations in mainland China primarily through (i) our mainland China subsidiary and (ii) the VIE with which we have maintained contractual arrangements. Investors in our ADSs thus are not purchasing equity interest in our operating entities in China but instead are purchasing equity interest in a Cayman Islands holding company. If the PRC government finds that the agreements that establish the structure for operating some of our or the VIE’s business operations in mainland China do not comply with regulations of mainland China relating to certain industries, or if these regulations or the interpretation of existing regulations change in the future, we and the VIE could be subject to severe penalties, or be forced to relinquish interest in those operations. Our holding company in the Cayman Islands, our mainland China subsidiary, the VIE, and investors of Aurora face uncertainty about potential future actions by the PRC government that could affect the enforceability of the contractual arrangements with the VIE and, consequently, significantly affect the financial performance of the VIE and our company as a whole;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hanging="317"/>
        <w:spacing w:after="0" w:line="25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contractual arrangements with the VIE and its shareholders for substantially all of our business operations, which may not be as effective as direct ownership. We rely on the performance by the VIE and its shareholders of their obligations under the contracts to direct the business operations of the VIE. However, the shareholders of the VIE may not act in the best interests of our company or may not perform their obligations under these contracts. Such risks exist throughout the period in which we intend to operate certain portions of our business through the contractual arrangements with the VIE;</w:t>
      </w:r>
    </w:p>
    <w:p>
      <w:pPr>
        <w:spacing w:after="0" w:line="187" w:lineRule="exact"/>
        <w:rPr>
          <w:rFonts w:ascii="Times New Roman" w:cs="Times New Roman" w:eastAsia="Times New Roman" w:hAnsi="Times New Roman"/>
          <w:sz w:val="18"/>
          <w:szCs w:val="18"/>
          <w:color w:val="auto"/>
        </w:rPr>
      </w:pPr>
    </w:p>
    <w:p>
      <w:pPr>
        <w:jc w:val="both"/>
        <w:ind w:left="1000" w:hanging="317"/>
        <w:spacing w:after="0" w:line="25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VIE or its shareholders to perform their obligations under our contractual arrangements with them would have a material and adverse effect on our business. If the VIE or its shareholders fail to perform their respective obligations under the contractual arrangements, we may have to incur substantial costs and expend additional resources to enforce such arrangements. We may also have to rely on legal remedies under the law of mainland China, including seeking specific performance or injunctive relief, and claiming damages, which we cannot assure will be effective under the law of mainland China; and</w:t>
      </w:r>
    </w:p>
    <w:p>
      <w:pPr>
        <w:spacing w:after="0" w:line="187" w:lineRule="exact"/>
        <w:rPr>
          <w:rFonts w:ascii="Times New Roman" w:cs="Times New Roman" w:eastAsia="Times New Roman" w:hAnsi="Times New Roman"/>
          <w:sz w:val="18"/>
          <w:szCs w:val="18"/>
          <w:color w:val="auto"/>
        </w:rPr>
      </w:pPr>
    </w:p>
    <w:p>
      <w:pPr>
        <w:jc w:val="both"/>
        <w:ind w:left="1000" w:hanging="317"/>
        <w:spacing w:after="0" w:line="255"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the VIE may have potential conflicts of interest with Aurora, which may materially and adversely affect our business and financial condition. These shareholders may breach, or cause the VIE to breach, or refuse to renew, the existing contractual arrangements we have with them and the VIE, which would have a material and adverse effect on our ability to direct the business operations of the VIE and receive economic benefits from them. If we cannot resolve any conflict of interest or dispute between us and the shareholders of the VIE, we would have to rely on legal proceedings, which could result in disruption of our business and subject us to substantial uncertainty as to the outcome of any such legal proceedings.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China</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and the VIE face risks and uncertainties related to doing business in China in general, including, but not limited to, the following:</w:t>
      </w:r>
    </w:p>
    <w:p>
      <w:pPr>
        <w:spacing w:after="0" w:line="162" w:lineRule="exact"/>
        <w:rPr>
          <w:sz w:val="20"/>
          <w:szCs w:val="20"/>
          <w:color w:val="auto"/>
        </w:rPr>
      </w:pPr>
    </w:p>
    <w:p>
      <w:pPr>
        <w:jc w:val="both"/>
        <w:ind w:left="1000" w:hanging="317"/>
        <w:spacing w:after="0" w:line="261"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mainland China’s economic, political or social conditions or government policies could have a material adverse effect on our and the VIE’s business and operations. The enforcement of laws and rules and regulations in China may change quickly with little advance notice, which could result in a material adverse change in our and the VIE’s operations and the value of our ADSs;</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VIE may be adversely affected by the complexity, uncertainties and changes in the regulation of internet-related businesses and companies in mainland China, and any lack of requisite approvals, licenses or permits applicable to our and the VIE’s business may have a material adverse effect on our and the VIE’s business and results of operations;</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and/or other requirements of the CSRC or other PRC governmental authorities may be required in connection with an offering under the rules, regulations or policies of mainland China, and, if required, we and the VIE cannot predict whether or how soon we will be able to obtain such approval. Any failure to obtain or delay in obtaining the requisite governmental approval for an offering, or a rescission of such approval, would subject us and the VIE to sanctions imposed by the PRC regulatory authority;</w:t>
      </w:r>
    </w:p>
    <w:p>
      <w:pPr>
        <w:spacing w:after="0" w:line="183" w:lineRule="exact"/>
        <w:rPr>
          <w:rFonts w:ascii="Times New Roman" w:cs="Times New Roman" w:eastAsia="Times New Roman" w:hAnsi="Times New Roman"/>
          <w:sz w:val="18"/>
          <w:szCs w:val="18"/>
          <w:color w:val="auto"/>
        </w:rPr>
      </w:pPr>
    </w:p>
    <w:p>
      <w:pPr>
        <w:jc w:val="both"/>
        <w:ind w:left="1000" w:hanging="317"/>
        <w:spacing w:after="0" w:line="255"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government’s significant oversight over our or the VIE’s business operation could result in a material adverse change in our and the VIE’s operations and the value of our ADSs. The PRC government may intervene or influence our and the VIE’s operations at any time, or may exert more control over offerings conducted overseas and/or foreign investment in China-based issuers. Any actions by the PRC government to exert more oversight and control over offerings that are conducted overseas and/or foreign investment in China-based issuers could significantly limit or completely hinder our ability to offer or continue to offer securities to investors and cause the value of such securities to significantly decline or become worthless;</w:t>
      </w:r>
    </w:p>
    <w:p>
      <w:pPr>
        <w:spacing w:after="0" w:line="188"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hanging="317"/>
        <w:spacing w:after="0" w:line="254"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 In April 2022, the SEC conclusively listed us as a Commission-Identified Issuer under the HFCAA following the filing of our annual report on Form 20-F for the fiscal year ended December 31, 2021. On December 15, 2022, the PCAOB removed mainland China and Hong Kong from the list of jurisdictions where it is unable to inspect or investigate completely registered public accounting firms. For this reason, we were not identified as a Commission-Identified Issuer under the HFCAA after we filed the annual report on Form 20-F for the fiscal year ended December 31, 2024 and do not expect to be so identified after we file this annual report on Form 20-F.</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ADSs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face risks and uncertainties related to our ADSs, including, but not limited to, the following:</w:t>
      </w:r>
    </w:p>
    <w:p>
      <w:pPr>
        <w:spacing w:after="0" w:line="225" w:lineRule="exact"/>
        <w:rPr>
          <w:sz w:val="20"/>
          <w:szCs w:val="20"/>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ADSs is likely to be volatile, which could result in substantial losses to investors; and</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dual-class voting structure will limit your ability to influence corporate matters and could discourage others from pursuing any change of control transactions that holders of our Class A common shares and the ADSs may view as beneficial.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historical performance may not be indicative of our future performance.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started operation in 2012. Our ability to forecast our future results of operations may be limited and subject to a number of uncertainties, including our ability to plan for and model future growth. We may not be able to achieve revenue growth. Our performance in recent periods may not be indicative of our future performance. We believe growth of our revenue depends on a number of factors, including our ability to:</w:t>
      </w:r>
    </w:p>
    <w:p>
      <w:pPr>
        <w:spacing w:after="0" w:line="180" w:lineRule="exact"/>
        <w:rPr>
          <w:sz w:val="20"/>
          <w:szCs w:val="20"/>
          <w:color w:val="auto"/>
        </w:rPr>
      </w:pPr>
    </w:p>
    <w:p>
      <w:pPr>
        <w:ind w:left="1000" w:hanging="317"/>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app developers and customers, including from diversified industry verticals, and retain and expand our relationships with existing app developers and customers on a cost-effective basis;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breadth of our ad publisher network and attract new publishers;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innovate and adapt our services and solutions to meet evolving needs of current and potential customers, including to respond to market trends;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increase our access to data necessary for the development and performance of our solutions;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proper functioning of SAAS Businesses which include developer Services and vertical applications, and other business initiatives as we continue to collect increasing amounts of data from a growing user base;</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continually improve on the algorithms underlying the products and the technologies;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to a changing regulatory landscape governing privacy matters;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pace with the new technological development in the industry;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sufficiently in our technology and infrastructure, at the pace required to support our growth;</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productize new solutions;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 our services and solutions to new geographic markets;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among more businesses;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employees.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cannot assure you that we will be able to successfully accomplish any of these objectives.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net losses in the past, which we may continue to experience in the future.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incurred net losses in the past, including loss from operations of RMB40.5 million and RMB9.9 million for the years ended December 31, 2023 and 2024, and net losses of RMB62.7 million and RMB6.8 million for the years ended December 31, 2023 and 2024, respectively. While we achieved profitability for the year ended December 31, 2025, with income from operations of RMB0.7 million (US$0.1 million) and net income of RMB2.6 million (US$0.4 million), we cannot assure you that we will be able to continue generating net profits in the future.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to continue to make significant future expenditures related to the continuous development and expansion of our business, including:</w:t>
      </w:r>
    </w:p>
    <w:p>
      <w:pPr>
        <w:spacing w:after="0" w:line="162" w:lineRule="exact"/>
        <w:rPr>
          <w:sz w:val="20"/>
          <w:szCs w:val="20"/>
          <w:color w:val="auto"/>
        </w:rPr>
      </w:pPr>
    </w:p>
    <w:p>
      <w:pPr>
        <w:ind w:left="1000" w:right="20" w:hanging="317"/>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our research and development team and in the development of new solutions and enhancement of our solutions;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sales and marketing, including expanding our sales force, increasing our customer base and increasing market awareness of our platform;</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operations and infrastructure, including internationally; and</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costs associated with general administration, including legal, accounting and other expenses related to being a public company.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 in future periods, our revenue could decline, and we may not be able to generate sufficient revenue to offset higher costs and achieve or sustain profitability. If we fail to achieve, sustain or increase profitability, our business and operating results could be adversely affected.</w:t>
      </w:r>
    </w:p>
    <w:p>
      <w:pPr>
        <w:spacing w:after="0" w:line="17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cannot successfully execute our strategy and continue to develop and effectively market SAAS Businesses and our other business initiatives that anticipate and respond to the needs of app developers and our customers, our business, operating results and financial condition may suffer.</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market for SAAS Businesses and other business initiatives is characterized by constant change and innovation, and we expect it to continue to rapidly evolve. Moreover, many of our customers operate in industries characterized by changing technologies and business models, which require them to develop and manage increasingly complex mobile application and IT infrastructure environments. Our success depends on our ability to offer high quality in-app functionalities needed by app developers and innovative SAAS and other products with industry-specific and actionable insights for our customers, and the resulting benefits to customers’ businesses and brands. Our success also depends upon our ability to identify, target and reach customers that need our services and SAAS Businesses and successfully convert app developers into paying customers through our sales and marketing activities and then increase the cross-sale among each line of our SAAS businesses. If we do not respond to the rapidly changing needs of our customers by developing and enhancing our SAAS Businesses and other business initiatives, developing new products on a timely basis that can address evolving customer needs, and selling and marketing them effectively, our competitive position and business prospects will be harmed.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the process of developing new technology and SAAS Businesses may be complex and uncertain, and if we fail to accurately predict developers’ and customers’ changing needs and emerging technological trends, our business could be harmed. We believe that we must continue to dedicate significant resources to our research and development efforts. The enhancement of our existing services and SAAS Businesses could fail to attain sufficient market acceptance for many reasons, including:</w:t>
      </w:r>
    </w:p>
    <w:p>
      <w:pPr>
        <w:spacing w:after="0" w:line="180" w:lineRule="exact"/>
        <w:rPr>
          <w:sz w:val="20"/>
          <w:szCs w:val="20"/>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accurately predict market or customer demands;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errors or failures in the design or performance of our new products or product enhancements;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about the performance or effectiveness of our SAAS Businesses;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developing and enhancing existing products or releasing our new products to the market;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or anticipated introduction of competing products by our competitors;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business conditions for our customers, causing them to reduce or delay purchases;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value of our services and SAAS Businesses relative to their cost.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the extent we are not able to execute on our business model to timely and effectively develop and market our SAAS Businesses and other business initiatives to address these challenges, our business, operating results and financial condition will be adversely affected.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successfully identify new opportunities, develop and bring new SAAS Businesses and other business initiatives to market on a timely basis or achieve market acceptance of our services and products, or that products and technologies developed by others will not render our services obsolete or non-competitive.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 we may make changes to our services and products that our customers do not like or find useful. We may also discontinue certain features, begin to charge for certain features that are currently free, such as certain developer services, or increase fees for any of our features or usage of our SAAS Businesses and other business initiatives. If our services or products do not achieve adequate acceptance in the market, our competitive position will be impaired, our revenue may decline or grow more slowly than expected and the negative impact on our operating results may be particularly acute and we may not receive a return on our investment because of the upfront research and development, sales and marketing and other expenses we incur.</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continue to gain access to mobile data in the future, our business, operating results and financial condition could be materially and adversely affected.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By providing services to mobile app developers, we gain access to massive mobile data that we use to develop our industry-specific SAAS Businesses. Data is sourced only based on our services provided to developers and primarily consists of unstructured anonymous meta data. Based on our centralized proprietary data processing platform and leveraging our Al and machine learning capabilities, we are able to gain actionable and effective insights from the data and develop a variety of SAAS Businesses. Our business plan assumes that the demand for SAAS Businesses will increase.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not be able to maintain and grow the number of app developers we serve. Furthermore, certain of our app developers may prohibit or limit our access to or use of this data. The broad adoption of certain end-user computer software or programs may pose technical restrictions on our ability to access user data or end-users may dispute our use of the data. Interruptions, failures or defects in our data access and processing systems, as well as privacy concerns regarding the user data, could also limit our ability to analyze data. In addition, our ability to collect data may be restricted by new laws and regulations. If we are not able to continue to gain access to extensive mobile data in the future, we will lose our competitive strengths, and we may not be able to offer and improve our existing SAAS Businesses or develop new products that respond to the needs of our customers effectively and efficiently. Accordingly, demand for our solutions may not continue to develop as we anticipate, or at all, and because we derive a substantial portion of our revenue from SAAS Businesses, the growth of our business and results of operations may be adversely affected.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for our SAAS Businesses and other business initiatives develops more slowly than we expect, our operating results could be harmed.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future success depends in large part on our ability to penetrate the existing market, as well as the continued growth and expansion of that market. It is difficult to predict customer adoption and renewals of our subscriptions, customer demand for our platform, the size, growth rate and expansion of this market, the entry of competitive products or the success of existing competitive products. Our ability to penetrate the existing market for SAAS Businesses and other business initiatives any expansion of that market depends on a number of factors, including the cost, performance and perceived value associated with our service and products, as well as potential customers’ willingness to adopt our service and products. If we or other providers of similar services and products experience security incidents, loss of customer or user data, disruptions in delivery or other problems, the market as a whole, including our business, may be negatively affected. If our service and products, especially SAAS Businesses, do not achieve widespread adoption, or there is a reduction in demand caused by a lack of customer acceptance, technological challenges, weakening economic conditions, security or privacy concerns, competing technologies and products, decreases in corporate spending or otherwise, it could result in decreased revenue and our business could be adversely affected.</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and the VIE’s business generates and processes a large amount of data, and we and the VIE are required to comply with PRC and other applicable laws relating to privacy and cybersecurity. The improper use or disclosure of data could have a material and adverse effect on our and the VIE’s business and prospects.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and the VIE’s business generates and processes a large quantity of data. We and the VIE face risks inherent in handling and protecting large volume of data. In particular, we and the VIE face a number of challenges relating to data from transactions, developer services, and other activities on our platforms, including:</w:t>
      </w:r>
    </w:p>
    <w:p>
      <w:pPr>
        <w:spacing w:after="0" w:line="176" w:lineRule="exact"/>
        <w:rPr>
          <w:sz w:val="20"/>
          <w:szCs w:val="20"/>
          <w:color w:val="auto"/>
        </w:rPr>
      </w:pPr>
    </w:p>
    <w:p>
      <w:pPr>
        <w:ind w:left="1000" w:right="20" w:hanging="317"/>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the data in and hosted on our system, including against attacks on our system by outside parties or fraudulent behavior or improper use by our employees;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concerns related to privacy and sharing, safety and other factors; and</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applicable laws, rules and regulations relating to the collection, use, storage, transfer and disclosure of personal information, including any requests from regulatory and government authorities relating to these data.</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general, we expect that data privacy and data protection compliance will receive greater attention and focus from regulators, both domestically and globally, as well as attract continued or greater public scrutiny and attention going forward, which could increase our compliance costs and subject us to heightened risks and challenges associated with data security and protection. If we are unable to manage these risks, we could become subject to penalties, including fines, suspension of business and revocation of required licenses, and our reputation and results of operations could be materially and adversely affected.</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regulatory and enforcement regime of mainland China with regard to data privacy and data protection is evolving and may be subject to different interpretations or significant changes. Moreover, different regulatory bodies of mainland China, including the Standing Committee of the National People’s Congress, the Ministry of Industry and Information Technology, the Cyberspace Administration of China, the MPS and the State Administration for Market Regulation, have enforced data privacy and protection laws and regulations with varying standards and applications. See “Item 4. Information on the Company—B. Business Overview— Regulations—Regulations on Information Security” and “Item 4. Information on the Company—B. Business Overview—Regulations— Regulations on Privacy Protection.” The following are examples of certain recent regulatory activities in mainland China in this area:</w:t>
      </w:r>
    </w:p>
    <w:p>
      <w:pPr>
        <w:spacing w:after="0" w:line="189" w:lineRule="exact"/>
        <w:rPr>
          <w:sz w:val="20"/>
          <w:szCs w:val="20"/>
          <w:color w:val="auto"/>
        </w:rPr>
      </w:pPr>
    </w:p>
    <w:p>
      <w:pPr>
        <w:jc w:val="both"/>
        <w:ind w:left="1000" w:hanging="317"/>
        <w:spacing w:after="0" w:line="26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Anti-monopoly Guidelines for the Platform Economy Sector published by the Anti-monopoly Committee of the State Council, effective on February 7, 2021, prohibits collection of user information through coercive means by online platforms operators.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hanging="317"/>
        <w:spacing w:after="0" w:line="254"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2021, the Standing Committee of the National People’s Congress promulgated the Personal Information Protection Law, which integrates the scattered rules with respect to personal information rights and privacy protection and took effect on November 1, 2021. We update our privacy policies from time to time to meet the latest regulatory requirements of PRC government authorities and adopt technical measures to protect data and ensure cybersecurity in a systematic way. Nonetheless, this law elevates the protection requirements for personal information processing, and many specific requirements of this law remain to be clarified by the Cyberspace Administration of China, other regulatory authorities, and courts in practice. We may be required to make further adjustments to our business practices to comply with the personal information protection laws and regulations.</w:t>
      </w:r>
    </w:p>
    <w:p>
      <w:pPr>
        <w:spacing w:after="0" w:line="11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Many of the data-related legislations are relatively new and certain concepts thereunder remain subject to interpretation by the regulators. In addition, according to the institutional reform plan of the State Council approved by the National People’s Congress on March 10, 2023, China has established the National Data Bureau on October 25, 2023, which is administered by the National Development and Reform Commission, or the NDRC. The National Data Bureau is responsible for advancing the development of data-related fundamental institutions, coordinating the integration, sharing, development and application of data resources, and pushing forward the planning and building of a digital China, the digital economy and a digital society. Although we only gain access to anonymous device-level mobile behavioral data that is necessary for, and relevant to, the services provided, the data we obtain and use may include information that is deemed as “personal information” under the Cyber Security Law of mainland China and related data privacy and protection laws and regulations. As such, we have adopted a series of measures in order to comply with the laws and regulations relating to the protection of personal information. We enter into a service agreement with each app developer that uses our developer services in their mobile apps, and we display privacy policies on our official website. Our service agreements and the privacy policies require each app developer to obtain consent from the end users of its apps in connection with data collection and use pursuant to the Cyber Security Law of mainland China and related laws and regulations. We periodically check the app developers’ own agreements with their end users on a sampling basis, and we remind the app developers to rectify the situation where we find instances of non-compliance with our service agreements, such as their failure to obtain sufficient consents from their end users. Moreover, once the original mobile behavioral data is collected through developer services, our data processing platform immediately stores, cleanses, structures and encrypts the data, and we then utilize AI and machine learning technologies to conduct modeling exercises and data mining and develop SAAS Businesses that offer industry-specific, actionable insights for customers, in aggregated and anonymized form. In addition, we have adopted rigorous data security measures to prevent our data from unauthorized access or use or being retrieved to establish any connection with the device owners’ identities.</w:t>
      </w:r>
    </w:p>
    <w:p>
      <w:pPr>
        <w:spacing w:after="0" w:line="12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While we take all these measures to comply with all applicable data privacy and protection laws and regulations, we cannot guarantee the effectiveness of the measures undertaken by us, app developers and our business partners. If any data that we and the VIE possess belongs to data categories that are subject to heightened scrutiny, we may be required to adopt stricter measures for protection and management of such data. The measures and the Regulations on the Network Data Security Administration remain unclear on whether the requirements will be applicable to companies that are already listed in the United States, such as us. We cannot predict the impact of the measures and the regulations, if any, at this stage, and we will closely monitor and assess any development in the rulemaking process. If these measures and the enacted version of the regulations mandate clearance of cybersecurity review and other specific actions to be taken by issuers like us, we and the VIE face uncertainties as to whether these additional procedures can be completed by us or the VIE timely, or at all, which may subject us to government enforcement actions and investigations, fines, penalties, suspension of our non-compliant operations, or removal of our app from the application stores, and materially and adversely affect our business and results of operations. As of the date of this annual report, we and the VIE have not been involved in any formal investigations on cybersecurity review made by the Cyberspace Administration of China on such basis.</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general, compliance with the existing laws and regulations of mainland China, as well as additional laws and regulations that regulatory bodies of mainland China may enact in the future, related to data security and personal information protection, may be costly and result in additional expenses to us, and subject us to negative publicity, which could harm our reputation and business operations. There are also uncertainties with respect to how such laws and regulations will be implemented and interpreted in practice.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regulatory authorities around the world have adopted or are considering a number of legislative and regulatory proposals concerning data protection. These legislative and regulatory proposals, if adopted, and the uncertain interpretations and application thereof could, in addition to the possibility of fines, result in an order requiring that we change our data practices and policies, which could have an adverse effect on our business and results of operations. The European Union General Data Protection Regulation, or the GDPR, which came into effect on May 25, 2018, includes operational requirements for companies that receive or process personal data of residents of the European Economic Area. The GDPR establishes new requirements applicable to the processing of personal data, affords new data protection rights to individuals and imposes penalties for serious data breaches. Individuals also have a right to compensation under the GDPR for financial or non-financial losses. In August 2022, we entered a cooperation agreement with WhatsApp to enable our customers to access WhatsApp’s messaging channels through our platform. In the event our customers send message to the residents of the European Economic Area through these WhatsApp’s messaging channels, we would fulfill the data security protection obligations pursuant to regulations and customers’ requirements, and implement security protection measures to process the protected information, such as encrypting and desensitizing the data. As of the date of this annual report, we and the VIE have not been involved in any investigations or aware of any claims on such basis.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and privacy breaches may hurt our business.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currently retain data from other parties, including data from mobile devices in secure database servers. It is essential for us to maintain the security of data that we store and process properly. We maintain a data security program. Once the original anonymous device-level mobile behavioral data is collected and aggregated, our platform stores, cleanses, structures and encrypts data. We also design and adopt other security controls to protect our data from breaches, including separation of data from external servers by firewalls, granting of limited access to designated employees, and maintaining a proper visit log. See “Item 4. Information on the Company—B. Business Overview—Our AI-Powered Data Processing Platform—Data Security.”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Given the nature of our business as an internet services provider to developers, we face the challenge of protecting the data in and hosted on our system, including against attacks on our system by outside parties or fraudulent behavior or improper use by our employees. Any security breach and data decryption, including those resulting from a cybersecurity attack, or any unauthorized access, unauthorized usage, virus or similar breach or disruption could result in the loss of the information that we gain access to and store, damage to our reputation, early termination of our contracts, litigation, regulatory investigations or other liabilities.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Techniques used to obtain unauthorized access or to sabotage systems change frequently and generally are not recognized until launched against a target. As a result, we may be unable to anticipate these techniques or to implement adequate preventative measures. If an actual or perceived security breach occurs, the market perception of our data security measures could be harmed and we could lose sales and customers.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the regulatory and enforcement regime of mainland China with regard to data security and data protection is evolving and may be subject to different interpretations or significant changes. For instance:</w:t>
      </w:r>
    </w:p>
    <w:p>
      <w:pPr>
        <w:spacing w:after="0" w:line="162" w:lineRule="exact"/>
        <w:rPr>
          <w:sz w:val="20"/>
          <w:szCs w:val="20"/>
          <w:color w:val="auto"/>
        </w:rPr>
      </w:pPr>
    </w:p>
    <w:p>
      <w:pPr>
        <w:jc w:val="both"/>
        <w:ind w:left="1000" w:hanging="317"/>
        <w:spacing w:after="0" w:line="251"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2021, the Standing Committee of the National People’s Congress promulgated the Data Security Law, which took effect in September 2021. The Data Security Law, among other things, provides for security review procedure for data-related activities that may affect national security. In July 2021, the State Council promulgated the Regulations on the Security Protection of Critical Information Infrastructure, which became effective on September 1, 2021. Pursuant to this regulation, critical information infrastructure means key network facilities or information systems of critical industries or sectors, such as public communication and information service, energy, transportation, water conservation, finance, public services, e-government affairs and national defense science, the damage, malfunction or data leakage of which may endanger national security, people’s livelihoods and the public interest. In December 2021, the Cyberspace Administration of China, together with other authorities, jointly promulgated the Measures for Cybersecurity Reviews, which became effective on February 15, 2022. Pursuant to these measures, critical information infrastructure operators that procure internet products and services must be subject to the cybersecurity review if their activities affect or may affect national security. These measures further stipulate that network platform operators that hold personal information of over one million users shall apply with the Cybersecurity Review Office for a cybersecurity review before any public offering at a foreign stock exchange. The measures remain unclear on whether the requirements will be applicable to further equity or debt offerings by companies that have completed the initial public offering in the United States. In addition to the potential review before foreign listings, the Cyberspace Administration of China has the discretion to initiate cybersecurity review on data processing activities which are deemed to affect or may affect national security. Thus, we cannot preclude the possibility that we would be subject to such ex officio security reviews, and it is uncertain whether the fact of us being listed in the United States would increase such a possibility. If we are subject to such a cybersecurity review, we may be ordered to suspend our business by disconnecting our products from our clients’ mobile apps, stopping developing new clients, businesses, among others. If we fail to pass the cybersecurity review, we may face penalties such as fines, orders to suspend business, suspension of business, closure of websites, revocation of business licenses and permits, and any of these could have a material adverse effect on our business and results of operations. However, the exact scope of “critical information infrastructure operators” under the current regulatory regime remains unclear, and the PRC government authorities may have wide discretion in the interpretation and enforcement of the applicable laws. Therefore, we cannot rule out the possibility that we may be deemed to be a critical information infrastructure operator under the law of mainland China. If we are deemed to be a critical information infrastructure operator under the cybersecurity laws and regulations of mainland China, we may be subject to obligations in addition to what we have fulfilled under the cybersecurity laws and regulations of mainland China. At this stage, we are unable to predict the possible consequences of the Regulations on Network Data Security Administration, if any, and we are monitoring and assessing the rulemaking process closely.</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jc w:val="both"/>
        <w:ind w:left="1000" w:hanging="317"/>
        <w:spacing w:after="0" w:line="254"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24, 2024, the State Council of China published the Regulations on Network Data Security Administration, which took effect on January 1, 2025. The Regulations on Network Data Security Administration provides that data processing operators engaging in network data processing activities that affect or may affect national security must be subject to network data security review by the relevant cyberspace administration of the PRC. “Network data processing activities” refers to the collection, retention, use, processing, transmission, provision, disclosure, deletion, and other activities of network data. However, the Regulations on Network Data Security Administration provides no further explanation or interpretation as to how to determine what “may affect national security,” and there remain uncertainties as to whether we would be subject to the cybersecurity review for the listing of our securities in the United States pursuant to the Regulations on Network Data Security Administration.</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uncertainties with respect to how such laws and regulations will be implemented and interpreted in practice, and the potential further enactment of laws and regulations by the regulatory bodies of mainland China may result in additional expenses to us, and subject us to negative publicity, which could harm our reputation and business operations.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Moreover, if a high-profile security breach occurs with respect to another SAAS Businesses, our customers and potential customers may lose trust in the security of our SAAS Businesses generally, which could adversely impact our ability to retain existing customers or attract new ones. Besides, any failure, or perceived failure to maintain the security of our data or to comply with applicable PRC or foreign privacy, data security and personal information protection laws and obligations may result in civil or regulatory liability, including governmental or data protection authority enforcement actions and investigations, fines, penalties, enforcement orders requiring us to cease operating in a certain way, litigation, or adverse publicity, and may require us to expend significant resources in responding to and defending allegations and claims.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strong brand and failing to maintain and enhance our brand would hurt our ability to expand our base of app developers and customers.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that maintaining and enhancing our “Jiguang” brand identity and increasing market awareness of our company and products, particularly among app developers and publishers, is critical to achieving widespread acceptance of our platform, to strengthening our relationships with our existing customers and to our ability to attract new customers. The successful promotion of our brand will depend largely on our continued marketing efforts, our ability to continue to offer high quality products, our ability to maintain our leadership position and our ability to successfully differentiate our products and platform from competing products and services. Our brand promotion activities may not be successful or yield increased revenue. In addition, independent industry analysts may provide reviews of our products and competing products and services, which may significantly influence the perception of our products in the market. If the reviews are negative or not as strong as reviews of our competitors’ products and services, then our brand may be harmed.</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if we do not handle product complaints appropriately, then our brand and reputation may suffer, app developers and customers may lose confidence in us and they may reduce or cease their use of our products. App developers and our customers may post and discuss on social media about internet-based products and services, including our products and platform. Our reputation depends, in part, on our ability to generate positive feedback and minimize negative feedback on social media channels where existing and potential customers seek and share information. If actions we take or changes we make to our products or platform upset these app developers and our customers, then their online commentary could negatively affect our brand and reputation. Complaints or negative publicity about us, our products or our platform could materially and adversely impact our ability to attract and retain users and customers, our business, results of operations and financial condition.</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promotion of our brand also requires us to make expenditures, and we anticipate that these expenditures will increase as our market becomes more competitive and as we expand into new markets. To the extent that these activities increase revenue, this revenue still may not be enough to offset the increased expenses we incur. If we do not successfully maintain and enhance our brand, then our business may not grow, we may see our pricing power reduced relative to our competitors and we may lose users and customers, all of which would adversely affect our business, results of operations and financial condition.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artificial intelligence industry is subject to evolving and extensive regulations. The adoption and use of artificial intelligence in our product offerings may subject us to potential infringement claims and increase our regulatory compliance costs.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building artificial intelligence, or AI, into our product offerings. For example, we launched GPTBOTS.AI in 2023, which is a no-code platform for creating AI-driven business applications. As with many industrial innovations, AI also presents risks and challenges that could affect its adoption, and, therefore, our business. AI algorithms may be flawed and datasets may be insufficient or contain biased information. Inappropriate or controversial data practices by us or others could impair our AI solutions. Some AI scenarios present ethical issues and if we offer AI related products that are controversial because of the impact of AI on human rights, privacy, employment, or other social issues, we may experience reputational harm or be exposed to liability.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uncertainties remain as to the ownership and intellectual property protection of the AI-generated content and the use of AI-generated-content tools may result in potential copyright infringement and other legal issues. If we fail to obtain the necessary consents or permits in conjunction with our use of AI tools, whether due to the inability to identify or verify the appropriate rights holder or for any other reason, we may be found to have infringed on the rights of others, potentially resulting in claims for monetary damages, regulatory fines and penalties, or a reduction of content available to users.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regulatory and legal framework on generative AI is evolving rapidly and may not sufficiently cover all relevant issues. PRC government authorities have gradually accelerated the pace of legislation for generative AI related technologies including algorithm recommendation and deep synthesis. The Administrative Provisions on the Deep Synthesis of Internet Information Services, issued by the Cyberspace Administration of China, the Ministry of Industry and Information Technology and the Ministry of Public Security on November 25, 2022 and effective on January 10, 2023, require the providers of deep synthesis services to, among other things, establish and maintain the management systems for algorithmic mechanism review, data security and personal information protection. The Provisional Measures on AI-Generated-Content Services, published on July 10, 2023 by seven governmental authorities including the Cyberspace Administration of China, also imposes compliance requirements for providers of generative AI services to fulfill their responsibilities as network information contents producers and fulfill their obligations of network information security. Besides, providers of generative AI services with attribute of public opinions or capable of social mobilization shall conduct security assessment and complete the formalities for algorithm filing, change or deregistration in accordance with the regulations. Non-compliance with these regulations may subject the providers of generative-AI services to penalties, including warning, public denouncement, rectification orders and suspension of the provision of certain services.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September 24, 2024, the State Council of China published the Regulations on Network Data Security Administration, which took effect on January 1, 2025. The Regulations on Network Data Security Administration provides that a network data handler providing generative artificial intelligence services shall strengthen its security management of training data and training data handling activities and take effective measures to prevent and dispose of network data security risks.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28, 2025, the Standing Committee of the National People’s Congress decided to amend the PRC Cybersecurity Law, which took effect on January 1, 2026. According to the amendment of PRC Cybersecurity Law, the State shall support basic theoretical research on AI and the research and development of key technologies such as algorithms, advance the construction of infrastructure such as training data resources and computing power, improve ethical norms for AI, strengthen risk monitoring and assessment and safety supervision, and promote the application and healthy development of AI.</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However, since these laws and regulations are still relatively new and significant uncertainties remain with respect to their interpretation and implementation, we cannot assure you whether we will be able to comply with the requirements of such laws and regulations in a timely manner or at all. If we are unable to complete all necessary filings and/or assessments, or if we have any dispute with any third party relating to intellectual property or data security, our business operation may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keep up with rapid changes in technologies, our future success may be adversely affected.</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utilize AI and machine learning technology and other advanced data technology tools to process data and productize our SAAS Businesses. The success of our business will depend, in part, on our ability to adapt and respond effectively to the technology development on a timely basis. If we are unable to develop new products that satisfy our customers and provide enhancements and new features for our existing products that keep pace with rapid technological and industry change, our business, results of operations and financial condition could be adversely affected. If new technologies emerge that are able to deliver competitive products and services at lower prices, more efficiently, more conveniently or more securely, such technologies could adversely impact our ability to compete effectively.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platform integrates with a variety of network, hardware, mobile and software platforms and technologies, and we need to continually modify and enhance our products and platform to adapt to changes and innovation in these technologies. If app developers or customers adopt new software platforms or infrastructure, we may be required to develop new versions of our products to work with those new platforms or infrastructure. This development effort may require significant resources, which would adversely affect our business, results of operations and financial condition. Any failure of our products and platform to operate effectively with evolving or new platforms and technologies could reduce the demand for our products. We must continue to invest substantial resources in research and development to enhance our technology. If we are unable to respond to these changes in a cost-effective manner, our products may become less marketable and less competitive or obsolete, and our business, results of operations and financial condition could be adversely affected.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compete successfully with our current or future competitors.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market for SAAS Businesses and other business initiatives is intensely competitive and characterized by rapid changes in technology, developer and customer requirements, industry standards and frequent new product introductions and improvements. We face competition in all lines of business. In the future, as we grow, we anticipate continued challenges from current competitors, as well as by new entrants into the industry including major online media networks, which may enjoy greater resources than us. See “Item 4. Information on the Company—B. Business Overview —Competition.” If we are unable to anticipate or effectively react to these competitive challenges, our competitive position could be weakened, and we could experience a decline in our growth rate or revenue that could adversely affect our business and results of operations.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Some of our existing competitors for SAAS Businesses have, and our potential competitors could have, substantial competitive advantages such as:</w:t>
      </w:r>
    </w:p>
    <w:p>
      <w:pPr>
        <w:spacing w:after="0" w:line="162" w:lineRule="exact"/>
        <w:rPr>
          <w:sz w:val="20"/>
          <w:szCs w:val="20"/>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brand recognition, longer operating histories and larger user bases;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deeper or otherwise more established relationships with technology, channel and business partners, including ad publishers and customers;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mature intellectual property portfolios;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and marketing budgets and resources and the capacity to leverage their sales efforts and marketing expenditures across a broader portfolio of products; and</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technical and other resources to provide support, to make acquisitions and to develop and introduce new products.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not compete successfully against our current or potential competitors. If we are unable to compete successfully, or if competing successfully requires us to take costly actions in response to the actions of our competitors, our business, financial condition and results of operations could be adversely affected. In addition, companies competing with us may have an entirely different pricing or distribution model. Increased competition could result in fewer customer subscriptions and transactions, price reductions, reduced operating margins and loss of market share. Further, we may be required to make substantial additional investments in research, development, marketing and sales in order to respond to such competitive threats, and we cannot assure you that we will be able to compete successfully in the future.</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system failure, interruption or downtime occurs, our business, financial condition and results of operations may be materially and adversely affected.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we seek to reduce the possibility of disruptions and other outages, our platform may be disrupted by problems with our own cloud-based technology and system, such as malfunctions in our software or other facilities or network overload. Our systems may be vulnerable to damage or interruption caused by telecommunication failures, power loss, human error, computer attacks or viruses, earthquakes, floods, fires, terrorist attacks and similar events. While we locate our servers in multiple data centers across China, our system may not be fully redundant or backed up, and our disaster recovery planning may not be sufficient for all eventualities. Despite the precautions we may take, the occurrence of natural disasters or other unanticipated problems at our hosting facilities could result in interruptions in the availability of our products and services. Any interruption in the ability of app developers or customers to use our services and solutions could damage our reputation, reduce our future revenues, harm our future profits, subject us to regulatory scrutiny and cause users to seek alternative products.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servers may experience downtime from time to time, which may adversely affect our operations, brands and user perception of the reliability of our systems. Any scheduled or unscheduled interruption in the ability of users to use our servers could result in an immediate, and possibly substantial, loss of revenues.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currently host our cloud service from third-party data center facilities operated by several different providers located in mainland China, Hong Kong, Singapore, Germany and the United States, etc. Any damage to, or failure of, our cloud service that is hosted by these third parties, whether as a result of our actions, actions by the third-party data centers, actions by other third parties, or acts of God, could result in interruptions in our cloud service and/or the loss of data. While the third-party hosting centers host the server infrastructure, we manage the cloud services through our technological operations team and need to support version control, changes in cloud software parameters and the evolution of our solutions. As we continue to add data centers and capacity in our existing data centers, we may move or transfer our data and our customers’ data. Despite precautions taken during this process, any unsuccessful data transfers may impair the delivery of our service. Impairment of, or interruptions in, our cloud services may reduce our revenues, subject us to claims and litigation, cause our customers to terminate their subscriptions and adversely affect our subscription renewal rates and our ability to attract new customers. Our business will also be harmed if app developers, customers and potential customers believe our services are unreliable.</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do not control, or in some cases have limited control over, the operation of the data center facilities we use, and they are vulnerable to damage or interruption from earthquakes, floods, fires, power loss, telecommunications failures and similar events. They may also be subject to break-ins, sabotage, intentional acts of vandalism and similar misconduct, and to adverse events caused by operator error. We may not be able to swiftly switch to new data centers or move customers from one data center to another if any adverse event were to occur. Despite precautions taken at these facilities, the occurrence of a natural disaster, an act of terrorism or other act of malfeasance, a decision to close the facilities without adequate notice, or other unanticipated problems at these facilities could result in lengthy interruptions in our service and the loss of accumulated data and our business.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 or failure of China’s internet infrastructure or information technology and communications systems of app developers and customers could impair our ability to effectively deliver our products.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depends on the performance and reliability of the internet infrastructure in mainland China and the stability of information technology and communications systems of app developers, customers and publishers. The availability of our SAAS Businesses, in part, depends on telecommunications carriers and other third-party providers for communications and storage capacity, including bandwidth and server storage, among other things. Almost all access to the internet in mainland China is maintained through state-owned telecommunication carriers under administrative control, and we obtain access to developers’ networks operated by such telecommunications carriers and internet service providers to deliver our developer services. We have experienced internet interruptions in the past, which were typically caused by service interruption of the value-added telecommunications service providers. In addition, since we rely on the performance of our publishers to deliver the ads, any interruption or failure of their information technology and communications systems may undermine the effectiveness of our advertising services and solutions and cause us to lose customers, which may harm our operating results.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prevent unauthorized use of our intellectual property, which could harm our business and competitive position.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regard our trademarks, service marks, patents, domain names, trade secrets, proprietary technologies, know-how and similar intellectual property as critical to our success, and we rely on trademark and patent law, trade secret protection and confidentiality and invention assignment agreements with our employees and third parties to protect our proprietary rights. As of December 31, 2025, within mainland China, we had 107 patent applications pending and 75 patents registered. We own 225 computer software copyrights, relating to various aspects of our SAAS Businesses. In addition, we have filed 5 trademark applications and have maintained 208 trademark registrations and 4 artwork copyrights in mainland China. We also registered 215 domain names, including www.jiguang.cn. There can be no assurance that any of our pending patent, trademark, software copyrights or other intellectual property applications will issue or be registered. Any intellectual property rights we have obtained or may obtain in the future may not be sufficient to provide us with a competitive advantage, and could be challenged, invalidated, circumvented, infringed or misappropriated. Given the potential cost, effort, risks and disadvantages of obtaining patent protection, we have not and do not plan to apply for patents or other forms of intellectual property protection for certain of our key technologies. If some of these technologies are later proven to be important to our business and are used by third parties without our authorization, especially for commercial purposes, our business and competitive position may be harmed.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Monitoring for infringement or other unauthorized use of our intellectual property rights is difficult and costly, and we cannot be certain that we can effectively prevent such infringement or unauthorized use of our intellectual property. From time to time, we may need to resort to litigation or other proceedings to enforce our intellectual property rights, which could result in substantial cost and diversion of resources. Our efforts to enforce or protect our intellectual property rights may be ineffective and could result in the invalidation or narrowing of the scope of our intellectual property or expose us to counterclaims from third parties, any of which may adversely affect our business and operating results.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it is often difficult to create and enforce intellectual property rights in mainland China and other jurisdictions outside of the United States. Even where adequate laws exist in mainland China and other jurisdictions outside of the United States, it may not be possible to obtain swift and equitable enforcement of such laws, or to enforce court judgments or arbitration awards delivered in another jurisdiction. Accordingly, we may not be able to effectively protect our intellectual property rights in such countries. Additional uncertainty may result from changes to intellectual property laws enacted in the jurisdictions in which we operate, and from interpretations of intellectual property laws by applicable courts and government bodies.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confidentiality and invention assignment agreements with our employees and third parties, such as consultants and contractors, may not effectively prevent unauthorized use or disclosure of our confidential information, intellectual property or technology and may not provide an adequate remedy in the event of such unauthorized use or disclosure. Trade secrets and know-how are difficult to protect, and our trade secrets may be disclosed, become known or be independently discovered by others. Despite our efforts to protect our proprietary rights, unauthorized parties may attempt to copy aspects of our service and solution features, software and functionality or obtain and use information that we consider confidential and proprietary. If we are not able to adequately protect our trade secrets, know-how and other confidential information, intellectual property or technology, our business and operating results may be adversely affected.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infringement claims or other allegations, which could result in our payment of substantial damages, penalties and fines, removal of data or technology from our system.</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Third parties may own technology patents, copyrights, trademarks, trade secrets and internet content, which they may use to assert claims against us. Our internal procedures and licensing practices may not be effective in completely preventing the unauthorized use of copyrighted materials or the infringement of other rights of third parties by us or our users. The validity, enforceability and scope of protection of intellectual property rights in internet-related industries, particularly in mainland China, is uncertain and still evolving. For example, as we face increasing competition and as litigation becomes a more common way to resolve disputes in mainland China, we face a higher risk of being the subject of intellectual property infringement claims.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we have not been subject to claims or lawsuits outside China, we cannot assure you that we will not become subject to intellectual property laws in other jurisdictions, such as the United States. If a claim of infringement brought against us in the United States or another jurisdiction is successful, we may be required to pay substantial penalties or other damages and fines, enter into license agreements which may not be available on commercially reasonable terms or at all or be subject to injunction or court orders. Even if allegations or claims lack merit, defending against them could be both costly and time consuming and could significantly divert the efforts and resources of our management and other personnel.</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Competitors and other third parties may claim that our officers or employees have infringed, misappropriated or otherwise violated their software, confidential information, trade secrets or other proprietary technology in the course of their employment with us. Although we take steps to prevent the unauthorized use or disclosure of such third-party information, intellectual property or technology by our officers and employees, we cannot guarantee that any policies or contractual provisions that we have implemented or may implement will be effective. If a claim of infringement, misappropriation or violation is brought against us or one of our officers or employees, we may suffer reputational harm and may be required to pay substantial damages, subject to injunction or court orders or required to remove the data and redesign our products or technology, any of which could adversely affect our business, financial condition and results of operations.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 we license and use technologies from third parties in our applications and platform. These third-party technology licenses may not continue to be available to us on acceptable terms or at all, and may expose us to liability. Any such liability, or our inability to use any of these third-party technologies, could result in disruptions to our business that could materially and adversely affect our operating and financial results.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open-source technology could impose limitations on our ability to develop our products and platform.</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use open-source software in our applications and platform and expect to continue to use open-source software in the future. Although we monitor our use of open-source software to avoid subjecting our applications and platform to conditions we do not intend, we may face allegations from others alleging ownership of, or seeking to enforce the terms of, an open-source license, including by demanding release of the open-source software, derivative works, or our proprietary source code that was developed using such software. These allegations could also result in litigation. The terms of many open-source licenses have not been interpreted by U.S. courts or foreign courts. As a result, there is a risk that these licenses could be construed in a way that could impose unanticipated conditions or restrictions on our ability to develop our applications and technology and commercialize our products and platform. In such an event, we could be required to seek licenses from third parties to continue applying our applications, to make our proprietary code generally available in source code form, to re-engineer our applications or to discontinue the offering of our service if re-engineering could not be accomplished on a timely basis, any of which could adversely affect our business, operating results and financial condition. In addition to risks related to license requirements, our use of certain open-source software may lead to greater risks than use of third-party commercial software, as open-source licensors generally do not provide warranties or controls on the origin of the software. Additionally, because any software source code we contribute to open-source projects is publicly available, our ability to protect our intellectual property rights with respect to such software source code may be limited or lost entirely, and we are unable to prevent our competitors or others from using such contributed software source code. Any of these risks could be difficult to eliminate or manage and, if not addressed, could adversely affect our business, financial condition and results of operations.</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technologies may include design or performance defects and may not achieve their intended results, any of which may impair our future revenue.</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technologies for data processing and solutions are relatively new, and they may contain design or performance defects that are not detectable even after extensive internal testing and may become apparent only after widespread and long term of commercial use. Any defect in those technologies as well as their subsequent alterations and improvements could hinder the effectiveness of our platform, which would have a material and adverse effect on our competitiveness, reputation and future prospects. It is not clear whether China’s existing product liability laws apply to software systems like ours. We cannot assure you that if our technologies are found to have design or performance defects, we will not be liable for product liability claims in China. Although we have not experienced any product liability claims to date, we cannot assure you that we will not do so in the future. App developer growth and engagement depend upon effective interoperation with the apps, mobile operating systems, networks, mobile devices and standards that we do not control. We make our developer services available across a variety of mobile apps, mobile operating systems and devices. We are dependent on the interoperability of our services with popular mobile apps and devices and mobile operating systems that we do not control, such as Android and iOS. Any changes in such app functions, mobile operating systems or devices that degrade the functionality of our developer services or give preferential treatment to competitive services could adversely affect usage of our services. Mobile operating systems or device manufacturers may develop competing solutions which may interface more effectively with their operating systems and devices. In order to deliver high quality services, it is important that our services work well across a range of apps, mobile operating systems, networks, mobile devices and standards that we do not control.</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not be successful in developing relationships with key participants in the mobile industry or in developing services that operate effectively with these apps, operating systems, networks, devices and standards. In the event that it is difficult for our app developers to access and use our services, our app developer growth and engagement could be harmed, our data resources may be limited and our business and operating results could be adversely affected.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and maintain the requisite licenses and approvals required under complex regulatory environment applicable to our business in mainland China, or if we are required to take actions that are time-consuming or costly, our business, financial condition and results of operations may be materially and adversely affected.</w:t>
      </w:r>
    </w:p>
    <w:p>
      <w:pPr>
        <w:spacing w:after="0" w:line="131"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18"/>
          <w:szCs w:val="18"/>
          <w:color w:val="auto"/>
        </w:rPr>
        <w:t>The internet and mobile industries in mainland China are highly regulated. The VIE is required to obtain and maintain applicable licenses and approvals from different regulatory authorities in order to provide their current services. Under the current regulatory scheme of mainland China, a number of regulatory agencies, including but not limited to, the Ministry of Industry and Information Technology, and Cyberspace Administration of China, jointly regulate all major aspects of the internet industry, including the mobile internet business. The VIE also provides mobile app data analysis product to both domestic and foreign financial industry clients, and may be considered as engaging in foreign-related investigation business. Under the current regulatory scheme of mainland China, the VIE may be required to obtain a foreign-related investigation license. Operators must obtain various government approvals and licenses for internet or mobile business. The VIE obtained a foreign-related investigation license in April 2022. See “Item 4. Information on the Company—B. Business Overview—Regulations—Regulations on Telecommunications Services and Foreign Ownership Restrictions” and “Item 4. Information on the Company—B. Business Overview—Regulations—Regulations on Foreign-related Investigation.”</w:t>
      </w:r>
    </w:p>
    <w:p>
      <w:pPr>
        <w:spacing w:after="0" w:line="139"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18"/>
          <w:szCs w:val="18"/>
          <w:color w:val="auto"/>
        </w:rPr>
        <w:t>We have obtained three value-added telecommunication business licenses covering different scope of operations and a foreign-related investigation license. These licenses are essential to the operation of our business and are generally subject to regular government review or renewal. In addition, Wuhan SendCloud may also be required to obtain a value-added telecommunication business license for store-and-forward services. Wuhan SendCloud provides email sending services as part of its operations. Wuhan SendCloud’s email platform allows customers to configure and create sender domains and deliver emails, which may be deemed to constitute store-and-forward services. Accordingly, Wuhan SendCloud may be required to hold a class B23 value-added telecommunications business license for store-and-forward services. Wuhan SendCloud is in the process of applying for such license but has not yet obtained it as of the date of this annual report. We cannot assure you that we can obtain or successfully renew these licenses in a timely manner or that these licenses are sufficient to conduct all of our present or future business.</w:t>
      </w:r>
    </w:p>
    <w:p>
      <w:pPr>
        <w:spacing w:after="0" w:line="151"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18"/>
          <w:szCs w:val="18"/>
          <w:color w:val="auto"/>
        </w:rPr>
        <w:t>We may also be required to obtain the personal credit reporting business license. See “Item 4. Information on the Company — B. Business Overview—Regulations—Regulations on Credit Reporting.” The PRC government has adopted several regulations governing personal credit reporting businesses. According to the Administrative Regulations on the Credit Reporting Industry, which was promulgated by the State Council and became effective in 2013, “personal credit reporting business” means the activities of collecting, organizing, storing and processing “information related to the credit standing” of individuals as well as providing the information to others, and a “credit reporting agency” refers to a duly established agency whose primary business is credit reporting. These regulations, together with the Administrative Measures for Credit Reporting Agencies, which was promulgated by the People’s Bank of China and became effective in 2013, set forth qualification standards for entities conducting a credit reporting business in mainland China, rules and requirements for credit reporting businesses and operating standards for credit reporting agencies. According to these regulations and measures, no entity may engage in personal credit reporting business without approval by the credit reporting industry regulatory department under the State Council. If any entity directly engages in personal credit reporting business without such approval, the entity is subject to penalties including suspension of business, confiscation of revenues related to personal credit reporting business, fines of RMB50,000 to RMB500,000 and criminal liabilities. On September 27, 2021, the People’s Bank of China promulgated the Administrative Measures for Credit Information Services, which took effect on January 1, 2022. Pursuant to these measures, Credit Information Services, shall mean the collection, sorting, retention, and processing of credit information of enterprises and individuals, and the provision of the foregoing information to information users. Credit information, shall mean the basic individual information, lending information and other information used for identification and determination of creditworthiness status of enterprises and individuals, and collected pursuant to the law for the purpose of providing services for financial activities, as well as the analyzed and evaluated information formed based on the foregoing information. Persons engaging in personal credit information services shall obtain the personal credit information organization license issued by the People’s Bank of China pursuant to these measures. We provide financial risk management solutions to financial institutions as well as emerging technology companies based on device-level mobile behavior data. Due to the lack of further interpretations of the current regulations governing personal credit reporting businesses, the exact definition and scope of “information related to credit standing” and “personal credit reporting business” under the current regulations are unclear. It is therefore uncertain whether we or the VIE would be deemed to engage in personal credit reporting business because of our or the VIE’s financial risk management solutions. As of the date of this annual report, we and the VIE have not been subject to any fines or other penalties under any laws or regulations of mainland China related to personal credit reporting business. However, given the evolving regulatory environment of the personal credit reporting industry, we cannot assure you that we will not be required in the future by the governmental authorities to obtain approval or license for personal credit reporting business in order to continue offering our financial risk management solutions. Our business may also subject to other rules and requirements related to credit reporting business, or new rules and requirements (including approval or license regime) promulgated by the authorities in the future. The existing and future rules and regulations may be costly to comply with, and we may not be able to obtain any required license or other regulatory approvals in a timely manner, or at all. If we are subject to penalties for any of the foregoing reasons, our business, financial condition, results of operations and prospects could be materially and adversely affected.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Considerable uncertainties exist regarding the interpretation and implementation of existing and future laws and regulations governing our business activities. We cannot assure you that we will not be found in violation of any future laws and regulations or any of the laws and regulations currently in effect due to changes in the authorities’ interpretation of these laws and regulations. If we fail to complete, obtain or maintain any of the required licenses or approvals or make the necessary filings, we may be subject to various penalties, such as confiscation of the net revenues that were generated through the unlicensed internet or mobile activities, the imposition of fines and the discontinuation or restriction of our operations. Any such penalties may disrupt our and the VIE’s business operations and materially and adversely affect our business, financial condition and results of operations.</w:t>
      </w:r>
    </w:p>
    <w:p>
      <w:pPr>
        <w:spacing w:after="0" w:line="18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acquisitions, strategic investments, partnerships or alliances could be difficult to integrate, and could require significant management attention, disrupt our business, dilute shareholder value, involve anti-monopoly concerns and adversely affect our results of operations.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seek to acquire, or make investment in additional businesses, products or technologies in both domestic and overseas markets. For example, we, through the VIE, acquired a majority equity interest of Wuhan SendCloud in March 2022 for a total cash consideration of RMB34.5 million. However, we have limited experience in acquiring, investing in and integrating businesses, products and technologies. If we identify an appropriate candidate for acquisition or investment, we may not be successful in negotiating the terms and/or financing of the transaction,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or employee or customer issues.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Any acquisition or investment may require us to use significant amounts of cash, issue potentially dilutive equity securities or incur debt. In addition, acquisitions involve numerous risks, any of which could harm our business, including:</w:t>
      </w:r>
    </w:p>
    <w:p>
      <w:pPr>
        <w:spacing w:after="0" w:line="121" w:lineRule="exact"/>
        <w:rPr>
          <w:sz w:val="20"/>
          <w:szCs w:val="20"/>
          <w:color w:val="auto"/>
        </w:rPr>
      </w:pPr>
    </w:p>
    <w:p>
      <w:pPr>
        <w:ind w:left="1000" w:right="20" w:hanging="317"/>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the operations, technologies, services and personnel of acquired businesses, especially if those businesses operate outside of our core competency;</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and perception risks associated with the acquired product or technology by the general public;</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or incompatibility of acquired technologies or services;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of acquired businesses;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the key business relationships and the reputations of acquired businesses;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for activities of the acquired company, including claims from terminated employees, clients, former shareholders or other third parties;</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all of the problems, liabilities or other shortcomings or challenges of an acquired company, technology, or solution, including issues related to intellectual property, solution quality or architecture, regulatory compliance practices, revenue recognition or other accounting practices or employee or client issues;</w:t>
      </w:r>
    </w:p>
    <w:p>
      <w:pPr>
        <w:spacing w:after="0" w:line="17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necessary to establish and maintain effective internal controls for acquired businesses;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develop the acquired technology in order to recoup our investment;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fixed costs.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we are unable to successfully integrate any future business, product or technology we acquire, our business and results of operations may suffer.</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loss of key personnel or inability to attract, retain and motivate qualified personnel may impair our ability to expand our business.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success is substantially dependent upon the continued service and performance of our senior management team and key technical, marketing and sales personnel, including our senior management. The replacement of any members of our senior management team likely would involve significant time and costs and may significantly delay or prevent the achievement of our business objectives.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future success also depends, in part, on our ability to continue to attract, integrate and retain highly skilled personnel. Competition for highly skilled personnel, including, in particular, engineers, is frequently intense. We must offer competitive compensation and opportunities for career growth in order to attract and retain these highly skilled employees. Any failure to successfully attract, integrate, or retain qualified personnel to fulfill our current or future needs may negatively impact our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Allegations or lawsuits against us or our management may harm our reputation and business.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been, and may in the future be, subject to allegations or lawsuits brought by our competitors, customers, employees or other individuals or entities, including claims of breach of contract or unfair competition. We are not presently a party to any material legal proceedings that, if determined adversely to us, would individually or taken together have a material adverse effect on our business, results of operations, financial condition or cash flows. Internet services and content providers such as ours are frequently involved in litigation based on intellectual property-related claims. Any potential allegation or lawsuits, with or without merit, or any perceived unfair, unethical, fraudulent or inappropriate business practice by us or perceived malfeasance by our management could harm our reputation and user base and distract our management from our daily operations. Allegations or lawsuits against us may also generate negative publicity that significantly harms our reputation, which may materially and adversely affect our user base and our ability to attract app developers and customers. In addition to the related cost, managing and defending litigation and related indemnity obligations can significantly divert management’s attention. We may also need to pay damages or settle the litigation with a substantial amount of cash. All of these could have a material adverse impact on our business, results of operation and cash flows.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lose investor confidence in the reliability of our financial statements.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Since our initial public offering of our ADSs on Nasdaq in July 2018, we have become subject to the Sarbanes-Oxley Act of 2002. Section 404 of the Sarbanes-Oxley Act required that we include a report from management on the effectiveness of our internal control over financial reporting in our annual report on Form 20-F beginning with our annual report for the fiscal year ending December 31, 2019.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an adverse report if it is not satisfied with our internal controls or the level at which our controls are documented, designed, operated or reviewed, or if it interprets the requirements differently from us.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management conducted an evaluation of the effectiveness of our internal control over financial reporting and concluded that our internal control over financial reporting was effective as of December 31, 2025. See “Item 15. Controls and Procedures.” The management report was not subject to attestation by our independent registered public accounting firm as we are a non-accelerated filer. However, if we fail to maintain an effective system of internal control over financial reporting in the future, our management and our independent registered public accounting firm may not be able to conclude that we have effective internal control over financial reporting at a reasonable assurance level. This could in turn result in loss of investor confidence in the reliability of our financial statements and negatively impact the trading price of our Class A common shares or the ADSs. Additionally, ineffective internal control over financial reporting could expose us to increased risk of fraud or misuse of corporate assets and subject us to potential delisting from the stock exchanges on which we list, regulatory investigations and civil or criminal sanctions. We may also be required to restate our financial statements for prior periods. Furthermore, we have incurred and anticipate that we will continue to incur considerable costs, management time and other resources in an effort to comply with Section 404 of the Sarbanes-Oxley Act and other requirements.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may be subject to seasonal fluctuation due to a number of factors, any of which could adversely affect our business and operation results.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historical seasonality of our business has been relatively mild due to our rapid growth in SAAS Businesses, but it may increase in the future. Due to our limited operating history, the seasonal trends that we have experienced in the past may not apply to, or be indicative of, our future operating results. As we grow, our quarterly revenues and operating results may be subject to seasonal fluctuations, depending upon a number of factors which may be out of our control. Expenditures by advertisers vary in cycles and tend to reflect overall economic conditions, both in China and globally, as well as budgeting and buying patterns in different industries and companies. Advertisers may alternate between periods with major advertising campaigns and periods of relative inactivity. Because most advertising campaigns are short in duration and we typically sign contracts on a campaign-by-campaign basis, it is difficult for us to forecast our results of operations for future quarters. Our quarterly revenues and our costs and expenses as a percentage of our revenues may be significantly different from our historical or projected rates. Our operating results in future quarters may fall below expectations. Any of these events could cause the price of the ADSs to fall. If our revenues for a particular quarter are lower than expected, we may be unable to reduce our operating expenses and cost of revenues for that quarter by a corresponding amount, which would harm our operating results for that quarter relative to our operating results from prior quarters.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the subject of anti-competitive, harassing or other detrimental conduct that could harm our reputation and cause us to lose users and customers.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future we may be the target of anti-competitive, harassing, or other detrimental conduct by third parties. Allegations, directly or indirectly against us or any of our executive officers, may be posted in internet chat-rooms or on blogs or websites by anyone, whether or not related to us, on an anonymous basis. The availability of information on social media platforms and devices is virtually immediate, as is its impact. Social media platforms and devices immediately publish the content their subscribers and participants post, often without filters or checks on the accuracy of the content posted. Information posted may be inaccurate and adverse to us, and it may harm our business, annual report or financial performance. The harm may be immediate without affording us an opportunity for redress or correction. In addition, such conduct may include complaints, anonymous or otherwise, to regulatory agencies. We may be subject to regulatory or internal investigation as a result of such third-party conduct and may be required to expend significant time and incur substantial costs to address such third-party conduct, and there is no assurance that we will be able to conclusively refute each of the allegations within a reasonable period of time, or at all. Additionally, our reputation could be harmed as a result of the public dissemination of anonymous allegations or malicious statements about our business, which in turn may cause us to lose users and customers and adversely affect the price of the ADSs.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Non-compliance on the part of third parties with whom we cooperate to conduct business, deterioration of their service quality or termination of their services, could disrupt our business and adversely affect our results of operations.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business partners, including publishers and third-party data service providers, may be subject to regulatory penalties or punishments because of their regulatory compliance failures, which may disrupt our business. Any legal liabilities of, or regulatory actions against, our business partners may affect our business activities and reputation and, in turn, our results of operations. For example, we collaborate with third-party data service providers who supplement our dataset and maintain a strict vetting process before engaging such third-party data service providers to ensure the integrity and quality data, but we cannot assure you that these service providers have accessed and processed data in a proper and legal manners and any non-compliance on their part may cause potential liabilities to us and disrupt our operations.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exercise no control over the third parties with whom we have business arrangements. If such third parties increase their prices, fail to provide their services effectively or in high quality, terminate their service or agreements or discontinue their relationships with us, we could suffer service interruptions, reduced revenues or increased costs, any of which may have a material adverse effect on our business, financial condition and results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granted and may continue to grant share options or other equity incentives in the future, which may result in increased share-based compensation expenses.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adopted a stock incentive plan in July 2014, or the 2014 Plan, a stock incentive plan in March 2017, or the 2017 Plan, a stock incentive plan in December 2021, or the 2021 Plan, and a stock incentive plan in September 2023, or the 2023 Plan. Under the 2014 Plan, we are authorized to grant share awards for issuance of up to a maximum of 5,500,000 common shares. Under the 2017 Plan, as amended, we are authorized to grant awards for issuance of up to a maximum of 6,015,137 Class A common shares. Under the 2021 Plan, we are authorized to grant share awards for issuance of up to a maximum of 4,000,000 common shares. Under the 2023 Plan, we are authorized to grant share awards for issuance of up to a maximum of 4,000,000 Class A common shares. In 2023, 2024 and 2025, we recorded RMB11.6 million, RMB4.2 million and RMB3.7 million (US$0.5 million) in share-based compensation expenses, respectively. The amount of these expenses is based on the fair value of the share-based compensation awards we granted, and the recognition of unrecognized share-based compensation cost will depend on the forfeiture rate of our unvested restricted shares. Expenses associated with share-based compensation have affected our net loss and may increase our net loss in the future, and any additional securities issued under share-based compensation schemes will dilute the ownership interests of our shareholders, including holders of the ADSs. We believe the granting of share-based compensation is of significant importance to our ability to attract and retain key personnel, employees and consultants, and we will continue to grant share-based compensation in the future. As a result, our expenses associated with share-based compensation may increase, which may have an adverse effect on our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and financing may not be available on terms acceptable to us, or at all.</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believe our cash and cash equivalents on hand will be sufficient to meet our current and anticipated needs for general corporate purposes for at least the next 12 months. We may, however, need additional cash resources in the future if we experience changes in business conditions or other developments. We may also need additional cash resources in the future if we find and wish to pursue opportunities for investment, acquisition, capital expenditure or similar actions. If we determine in the future that our cash requirements exceed the amount of cash and cash equivalents we have on hand, we may seek to issue equity or equity linked securities or obtain debt financing, including through the US$8,000,000 at-the-market sales program currently available to us.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 Further, we may be adversely affected by a crisis in the banking industry. If banks and financial institutions enter receivership or become insolvent in the future and a portion of our cash or cash equivalents is held in such banks and financial institutions, our ability to access our existing cash and cash equivalents may be impacted and could have a material adverse effect on our business and financial condition.</w:t>
      </w:r>
    </w:p>
    <w:p>
      <w:pPr>
        <w:spacing w:after="0" w:line="1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issuance of common shares or ADSs will result in additional dilution of the percentage ownership of our shareholders and could cause the price of the ADSs to fall.</w:t>
      </w:r>
    </w:p>
    <w:p>
      <w:pPr>
        <w:spacing w:after="0" w:line="11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the date of this annual report, 9,666,666 ADSs are issuable upon exercise of the PAG Warrant. The PAG Warrant has an initial exercise price of US$1.035 per common share, subject to adjustments (including anti-dilution adjustments). The PAG Warrant will expire on February 10, 2029, being the third anniversary of the issue date. We also agree with the warrant holder to work on a best efforts basis for the filing of a registration statement covering the common shares underlying the PAG Warrant (including in the form of ADSs). The exercise of the PAG Warrant will dilute the ownership interests of our shareholders and holders of our ADSs. Furthermore, any sales in the public market of common shares or ADSs issuable upon exercise of the PAG Warrant may create a downward pressure on the market price of our ADSs and/or may increase the opportunities to create short positions with respect to the ADSs, which could in turn further adversely affect the prevailing market price of our ADSs. In addition, the existence of the PAG Warrant, in itself, may encourage short selling by market participants because their exercise or conversion could trigger the market dynamic that would depress the price of our ADSs.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severe or prolonged downturn in the Chinese or global economy could materially and adversely affect our business and financial condition.</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COVID-19 had a severe and negative impact on the Chinese and the global economy from 2020 through 2022, and the global macroeconomic environment still faces numerous challenges. The growth rate of the Chinese economy has been slowing since 2010 and the Chinese population began to decline in 2022. The Russia-Ukraine conflict, the Hamas-Israel conflict and the attacks on shipping in the Red Sea have heightened geopolitical tensions across the world. The impact of the Russia-Ukraine conflict on Ukraine food exports has contributed to increases in food prices and thus to inflation more generally. There have also been concerns about the relationship between China and other countries which may potentially have economic effects. In particular, there is significant uncertainty about the future relationship between the United States and China with respect to a wide range of issues including trade policies, treaties, government regulations and tariffs. Economic conditions in China are sensitive to global economic conditions, as well as changes in domestic economic and political policies and the expected or perceived overall economic growth rate in China.</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changing law and regulations regarding regulatory matters, corporate governance and public disclosure that have increased both our costs and the risk of non-compliance.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rules and regulations by various governing bodies, including, for example, the Securities and Exchange Commission, which is charged with the protection of investors and the oversight of companies whose securities are publicly traded, and the various regulatory authorities in mainland China and the Cayman Islands,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revenue-generating activities to compliance activities.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business insurance coverage.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insurance companies in mainland China currently offer limited business-related insurance products. We do not maintain business interruption insurance or general third-party liability insurance, nor do we maintain property insurance, product liability insurance or key-man insurance. We consider this practice to be reasonable in light of the nature of our business and the insurance products that are available in mainland China and in line with the practices of other companies in the same industry of similar size in mainland China. Any uninsured risks may result in substantial costs and the diversion of resources, which could adversely affect our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health epidemics, severe weather conditions and other outbreaks.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could be adversely affected by the effects of COVID-19 pandemics, avian influenza, severe acute respiratory syndrome (SARS), the influenza A virus, Ebola virus, severe weather conditions or other epidemics or outbreaks. Health or other government regulations adopted in response to an epidemic, severe weather conditions such as snowstorms, floods or hazardous air pollution, or other outbreaks may require temporary closure of our offices. Such closures may disrupt our and the VIE’s business operations and adversely affect our results of operations.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also vulnerable to natural disasters and other calamities. Fire, floods, typhoons, earthquakes, power loss, telecommunications failures, break-ins, war, riots, terrorist attacks or similar events may give rise to server interruptions, breakdowns, system failures, technology platform failures or internet failures, which could cause the loss or corruption of data or malfunctions of software or hardware as well as adversely affect our ability to provide content and services on our platform.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leasehold interests in leased properties have not been registered with the PRC governmental authorities as required by laws of mainland China. The failure to register leasehold interests may expose us to potential fines.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not registered certain of our lease agreements with the government authorities. Under the laws and regulations of mainland China, we may be required to register and file with the government authority executed leases. The failure to register the lease agreements for our leased properties will not affect the validity of these lease agreements, but the competent housing authorities may order us to register the lease agreements in a prescribed period of time and impose a fine ranging from RMB1,000 to RMB10,000 for each non-registered lease if we fail to complete the registration within the prescribed timeframe.</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lease premises and may not be able to fully control the rental costs, quality, maintenance and our leasehold interest in these premises, nor can we guarantee that we will be able to successfully renew or find suitable premises to replace our existing premises upon expiration of the existing leases.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lease all the premises used in our operations from third parties. We require the landlords’ cooperation to effectively manage the condition of such premises, buildings and facilities. In the event that the condition of the office premises, buildings and facilities deteriorates, or if any or all of our landlords fail to properly maintain and renovate such premises, buildings or facilities in a timely manner or at all, the operation of our offices could be materially and adversely affected.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Moreover, certain lessors have not provided us with valid ownership certificates or authorization of sublease for our leased properties. Under the laws and regulations of mainland China, if the lessors are unable to obtain certificate of title because such real estates were built illegally or failed to pass the inspection, such lease contracts may be recognized as void. In addition, if our lessors are not the owners of the properties and they have not obtained consents from the owners or their lessors or permits from the government authorities, our leases could be invalidated. If this occurs, we may have to renegotiate the leases with the owners or the parties who have the right to lease the properties, and the terms of the new leases may be less favorable to us.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are not aware of any material claims or actions being contemplated or initiated by government authorities, property owners or any other third parties with respect to our leasehold interests in or use of such properties. However, we cannot assure you that our use of such leased properties will not be challenged.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make adequate contributions to various employee benefit plans as required by the regulations of mainland China may subject us to penalties.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Companies operating in mainland China are required to participate in various government sponsored employee benefit plans, including certain social insurance, housing funds and other welfare-oriented payment obligations, and contribute to the plans in amounts equal to certain percentages of salaries, including bonuses and allowances, of our employees up to a maximum amount specified by the local government from time to time at locations where we operate our businesses. The requirement of employee benefit plans has not been implemented consistently by the local governments in mainland China given the different levels of economic development in different locations. Our mainland China entities have not made adequate employee benefit payments and we have recorded accruals for estimated underpaid amounts in our financial statements. We may be required to make up the contributions for these plans as well as to pay late fees and fines. If we are subject to late fees or fines in relation to the underpaid employee benefits, our financial condition and results of operations may be adversely affected.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PRC government finds that the agreements that establish the structure for operating some of our or the VIE’s business operations in mainland China do not comply with regulations of mainland China relating to certain industries, or if these regulations or the interpretation of existing regulations change in the future, we could be subject to severe penalties, or be forced to relinquish our interest in those operations.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Foreign ownership of certain parts of our businesses including value-added telecommunications services is subject to restrictions under current laws and regulations of mainland China. The PRC government regulates internet access, distribution of online information and online advertising through strict business licensing requirements and other government regulations. For example, foreign investors, with a few exceptions, are not allowed to own more than 50% of the equity interests in a value-added telecommunications service provider and any such foreign investor must have experience in providing value-added telecommunications services overseas and maintain a good track record. On March 29, 2022, the Decision of the State Council on Revising and Repealing Certain Administrative Regulations, which took effect on May 1, 2022, was promulgated to amend certain provisions of regulations including the Provisions on the Administration of Foreign-Invested Telecommunications Enterprises (2016 Revision), the requirement for major foreign investor to demonstrate a good track record and experience in operating value-added telecommunications businesses and the review by the MOFCOM were deleted. On April 8, 2024, the Ministry of Industry and Information Technology promulgated the Notice of the Ministry of Industry and Information Technology on the Pilot Program for Expanding the Opening up of Value-added Telecommunications Services to the Outside World. This notice states that in regions authorized to implement the pilot program, the restrictions on specific types of value-added telecommunications businesses will be lifted.</w:t>
      </w:r>
    </w:p>
    <w:p>
      <w:pPr>
        <w:spacing w:after="0" w:line="14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Aurora is a Cayman Islands exempted company and our mainland China subsidiary, namely our WFOE, is a foreign-invested enterprise. Accordingly, our WFOE is not eligible to provide value-added telecommunications services in mainland China. As a result, the VIE in mainland China, namely Hexun Huagu including its subsidiaries, holds three value-added telecommunications business operation license as the value-added telecommunications service provider. We entered into a series of contractual arrangements with the VIE and its shareholders, which enable us to (i) direct the activities of the VIE that most significantly impact its economic performance,</w:t>
      </w:r>
    </w:p>
    <w:p>
      <w:pPr>
        <w:spacing w:after="0" w:line="3" w:lineRule="exact"/>
        <w:rPr>
          <w:sz w:val="20"/>
          <w:szCs w:val="20"/>
          <w:color w:val="auto"/>
        </w:rPr>
      </w:pPr>
    </w:p>
    <w:p>
      <w:pPr>
        <w:jc w:val="both"/>
        <w:ind w:firstLine="8"/>
        <w:spacing w:after="0" w:line="253" w:lineRule="auto"/>
        <w:tabs>
          <w:tab w:leader="none" w:pos="27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the economic benefits of and absorb losses that potentially could be significant to the VIE, and (iii) have an exclusive call option to purchase all or part of the equity interests and assets in the VIE when and to the extent permitted by the laws of mainland China. As a result of these contractual arrangements, we are considered the primary beneficiary of the VIE and hence consolidate its financial results into our consolidated financial statements under U.S. GAAP for accounting purposes. In 2023, 2024 and 2025, we derived 95.0%, 90.7% and 85.2% of our external revenues from the VIE, respectively.</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opinion of our PRC legal counsel, Han Kun Law Offices, (i) the ownership structure of the PRC subsidiary and the VIE does not result in any violation of any explicit requirements under any PRC laws and regulations in all material aspects; (ii) each of the contractual arrangements is valid, binding and enforceable in accordance with its terms; and (iii) the execution, delivery and performance of the contractual arrangements do not result in any violation of the provisions of the articles of association and business licenses of the VIE. However, our PRC legal counsel has also advised us that there are substantial uncertainties regarding the interpretation and application of current and future laws and regulations of mainland China. Accordingly, the PRC regulatory authorities may take a view that is contrary to the opinion of our PRC legal counsel.</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However, Aurora is a Cayman Islands holding company with no equity ownership in the VIE and we conduct our operations in mainland China through (i) our mainland China subsidiary and (ii) the VIE with which we have maintained contractual arrangements. Investors in our Class A common shares or the ADSs thus are not purchasing equity interest in our consolidated affiliated entities in mainland China but instead are purchasing equity interest in a Cayman Islands holding company. If the PRC government deems that our contractual arrangements with the VIE do not comply with regulatory restrictions of mainland China on foreign investment in certain industries, or if these regulations or the interpretation of existing regulations change or are interpreted differently in the future, we and the VIE could be subject to severe penalties or be forced to relinquish our interests in those operations. Our holding company in the Cayman Islands, the VIE, and investors of Aurora face uncertainty about potential future actions by the PRC government that could affect the enforceability of the contractual arrangements with the VIE and, consequently, significantly affect the financial performance of the VIE and our company as a group.</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There are substantial uncertainties regarding the interpretation and application of laws and regulations of mainland China, including, but not limited to, the laws and regulations governing our and the VIE’s business, or the enforcement and performance of our contractual arrangements with the VIE and its shareholders. The Guideline No. 2 on the Application of Regulatory Rules on Overseas Securities Offerings and Listings, as one of the supporting guidelines for the Trial Administrative Measures of the Overseas Securities Offering and Listing by Domestic Companies, provides that the filing documents submitted to the CSRC shall specify, among other things: (i) whether the issuer’s business, licenses or qualifications are not allowed to be controlled by way of contractual arrangements by PRC laws, administrative regulations or provisions; (ii) whether the domestic operating entities controlled by way of contractual arrangements are subject to any restricted or prohibited industries for foreign investments. The officials from the CSRC clarified at the press conference held for the measures on February 17, 2023 that, the CSRC will solicit opinions from regulatory authorities and complete the filing of the overseas listing of companies with VIE structure which duly meet the compliance requirements. These laws and regulations may be subject to change, and their official interpretation and enforcement may involve substantial uncertainty. New laws and regulations that affect existing and proposed future businesses may also be applied retroactively. Due to the uncertainty and complexity of the regulatory environment, we cannot assure you that we and the VIE would always be in full compliance with applicable laws and regulations, the violation of which may have adverse effect on our and the VIE’s business and our reputation.</w:t>
      </w:r>
    </w:p>
    <w:p>
      <w:pPr>
        <w:spacing w:after="0" w:line="1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Although we believe we, our mainland China subsidiary and the VIE are not in violation of current laws and regulations of mainland China, we cannot assure you that the PRC government would agree that our contractual arrangements comply with licensing, registration or other regulatory requirements of mainland China, with existing policies or with requirements or policies that may be adopted in the future. The PRC government has broad discretion in determining rectifiable or punitive measures for non-compliance with or violations of laws and regulations of mainland China. If the PRC government determines that we or the VIE do not comply with applicable law, it could revoke the VIE’s business and operating licenses, require the VIE to discontinue or restrict the VIE’s operations, restrict the VIE’ right to collect revenues, block the VIE’s websites, require the VIE to restructure our operations, impose additional conditions or requirements with which the VIE may not be able to comply, impose restrictions on the VIE’s business operations or on their customers, or take other regulatory or enforcement actions against the VIE that could be harmful to their business. Any of these or similar occurrences could significantly disrupt our or the VIE’ business operations or restrict the VIE from conducting a substantial portion of their business operations, which could materially and adversely affect the VIE’s business, financial condition and results of operations. If any of these occurrences results in our inability to direct the activities of any of the VIE that most significantly impact its economic performance, and/or our failure to receive the economic benefits from any of the VIE, we may not be able to consolidate these entities in our consolidated financial statements in accordance with U.S. GAAP. In addition, our shares may decline in value or become worthless if we are unable to assert our contractual control rights over the assets of the VIE and its subsidiaries that conduct a significant part of our operations.</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approval, filing or other requirements of the China Securities Regulatory Commission or other PRC government authorities may be required under the law of mainland China in connection with our issuance of securities overseas.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Regulations on Mergers and Acquisitions of Domestic Enterprises by Foreign Investors, or the M&amp;A Rules, purport to require offshore special purpose vehicles that are controlled by companies or individuals in mainland China and that have been formed for the purpose of seeking a public listing on an overseas stock exchange through acquisitions of domestic companies registered in mainland China or assets to obtain CSRC approval prior to publicly listing their securities on an overseas stock exchange. The interpretation and application of the regulations remain unclear. If CSRC approval under the M&amp;A Rules is required, it is uncertain whether it would be possible for us to obtain the approval, and any failure to obtain or delay in obtaining CSRC approval for our future issuance of securities overseas would subject us to sanctions imposed by the CSRC and other PRC regulatory agencies.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Furthermore, the recent issued Opinions on Strictly Cracking Down on Illegal Securities Activities emphasized the need to strengthen the administration over “illegal securities activities” and the supervision on overseas listings by China-based companies, and proposed to take effective measures, such as promoting the construction of regulatory systems to deal with the risks and incidents faced by China- based overseas-listed companies, although such opinions did not specify the definition of “illegal securities activities.” On February 17, 2023, the CSRC promulgated the Trial Administrative Measures of the Overseas Securities Offering and Listing by Domestic Companies and five supporting guidelines, which took effect on March 31, 2023. According to these measures, among other requirements, (1) domestic companies that seek to offer or list securities overseas, both directly and indirectly, should fulfill the filing procedures with the CSRC; if a domestic company fails to complete the filing procedure, such domestic company may be subject to administrative penalties; (2) if the issuer meets both of the following conditions, the overseas offering and listing shall be determined as an indirect overseas offering and listing by a domestic company: (i) any of the total assets, net assets, revenues or profits of the domestic operating entities of the issuer in the most recent accounting year accounts for more than 50% of the corresponding figure in the issuer’s audited consolidated financial statements for the same period; (ii) its major operational activities are carried out in China or its main places of business are located in China, or the senior managers in charge of operation and management of the issuer are mostly Chinese citizens or are domiciled in China; and (3) where a domestic company seeks to indirectly offer and list securities in an overseas market, the issuer shall designate a major domestic operating entity responsible for all filing procedures with the CSRC, and such filings shall be submitted to the CSRC within three business days after the submission of the overseas offering and listing application. Further, at the press conference held for the measures on February 17, 2023, officials from the CSRC clarified that the PRC domestic companies that have already been listed overseas on or before the effective date of the measures (i.e., March 31, 2021) shall be deemed as existing issuers. Existing issuers are not required to complete the filing procedures immediately but shall carry out filing procedures as required if they conduct refinancing or are involved in other circumstances that require filing with the CSRC. The officials from the CSRC have also confirmed that for the PRC domestic companies that seek to list overseas with VIE structure, the CSRC will solicit opinions from regulatory authorities and complete the filing of the overseas listing of companies with VIE structure which meet the compliance requirements. On February 24, 2023, the CSRC, Ministry of Finance of the PRC, National Administration of State Secrets Protection and National Archives Administration of China promulgated the Provisions on Strengthening Confidentiality and Archives Administration of Overseas Securities Offering and Listing by Domestic Companies, which took effect on March 31, 2023. Pursuant to these provisions, domestic companies that seek for overseas offering and listing shall strictly abide by applicable laws and regulations of the PRC and these provisions, enhance legal awareness of keeping state secrets and strengthening archives administration, institute a sound confidentiality and archives administration system, and take necessary measures to fulfill confidentiality and archives administration obligations. Such domestic companies shall not leak any state secret and working secret of government agencies, or harm national security and public interest. Furthermore, a domestic company that plans to, either directly or through its overseas listed entity, publicly disclose or provide to individuals or entities including securities companies, securities service providers and overseas regulators, any document and materials that contain state secrets or working secrets of government agencies, shall first obtain approval from competent authorities according to law, and file with the secrecy administrative department at the same level. Moreover, a domestic company that plans to, either directly or through its overseas listed entity, publicly disclose or provide to individuals and entities including securities companies, securities service providers and overseas regulators, any other documents and materials that, if leaked, will be detrimental to national security or public interest, shall strictly fulfill procedures stipulated by applicable national regulations. These provisions also stipulate that a domestic company that provides accounting archives or copies of accounting archives to any entities including securities companies, securities service providers and overseas regulators and individuals shall fulfill due procedures in compliance with applicable national regulations.</w:t>
      </w:r>
    </w:p>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However, there are substantial uncertainties as to the implementation and interpretation. We cannot predict the impact of these measures and provisions on us, including but not limited to, the maintenance of the listing status of our ADSs and/or other securities, or any of our future offerings of securities overseas at this stage. If we or the VIE do not receive or maintain the permissions or approvals, including but not limited to, complete the filing with the CSRC for any future offering or any other activities which are subject to the filing requirements under these measures, or if we inadvertently conclude that such permissions or approvals are not required, or applicable laws, regulations, or interpretations change such that we and the VIE are required to obtain permission or approval in the future, we and the VIE may be subject to an investigation by competent regulators, fines or penalties, or an order prohibiting us from conducting an offering, and these risks could result in a material adverse change in our and the VIE’s operations and the value of our ADSs, significantly limit or completely hinder our ability to offer or continue to offer securities to investors, or cause such securities to significantly decline in value or become worthless.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on December 28, 2021, the Cyberspace Administration of China and several other regulatory authorities in mainland China jointly promulgated the Measures for Cybersecurity Reviews, which came into effect on February 15, 2022. Pursuant to these measures, (i) where the activity affects or may affect national security, a critical information infrastructure operators that purchases network products and services, or an internet platform operator that conducts data process activities, shall be subject to the cybersecurity review, (ii) an application for cybersecurity review shall be made by an issuer who is an internet platform operator holding personal information of more than one million users before such issuer applies to list its securities on a foreign stock exchange, and (iii) governmental authorities in the mainland China may initiate cybersecurity review if they determine an operator’s network products or services or data processing activities affect or may affect national security. There remain uncertainties as to how it would be interpreted and enforced, and to what extent it may affect us.</w:t>
      </w:r>
    </w:p>
    <w:p>
      <w:pPr>
        <w:spacing w:after="0" w:line="1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Furthermore, if there are any other approvals, filings and/or other administration procedures to be obtained from or completed with the CSRC or other PRC regulatory agencies as required by any new laws and regulations for any of our future proposed offering of securities overseas or the listing of the ADSs, we cannot assure you that we can obtain the required approval or complete the required filings or other regulatory procedures in a timely manner, or at all. Any failure to obtain the approvals or complete the filings and other regulatory procedures may subject us to regulatory actions or other sanctions from the CSRC or other PRC regulatory agencies, which may have a material adverse effect on our business, financial condition or results of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significantly affected by the PRC Foreign Investment Law</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March 15, 2019, the National People’s Congress adopted the PRC Foreign Investment Law, which became effective on January 1, 2020. The PRC Foreign Investment Law embodies an expected mainland China regulatory trend to rationalize its foreign investment regulatory regime in line with prevailing international practice and the legislative efforts to unify the corporate legal requirements for both foreign and domestic investments. However, uncertainties still exist in relation to its interpretation and implementation. For example, the PRC Foreign Investment Law adds a catch-all clause to the definition of “foreign investment” so that foreign investment, by its definition, includes “investments made by foreign investors in mainland China through other means defined by other laws or administrative regulations or provisions promulgated by the State Council” without further elaboration on the meaning of “other means”. It leaves leeway for the future legislations promulgated by the State Council to provide for contractual arrangements as a form of foreign investment. It is therefore uncertain whether our corporate structure will be seen as violating the foreign investment rules as we are currently leverage the contractual arrangement to operate certain businesses in which foreign investors are prohibited from or restricted to investing. Furthermore, if future legislations prescribed by the State Council mandate further actions to be taken by companies with respect to existing contractual arrangement, we may face substantial uncertainties as to whether we can complete such actions in a timely manner, or at all. If we fail to take appropriate and timely measures to comply with any of these or similar regulatory compliance requirements, our current corporate structure, corporate governance and business operations could be materially and adversely affected.</w:t>
      </w:r>
    </w:p>
    <w:p>
      <w:pPr>
        <w:spacing w:after="0" w:line="1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contractual arrangements with the VIE and its shareholders for substantially all of our business operations, which may not be as effective as direct ownership.</w:t>
      </w:r>
    </w:p>
    <w:p>
      <w:pPr>
        <w:spacing w:after="0" w:line="9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VIE contributed 95.0%, 90.7% and 85.2% of our consolidated total net revenues for the years ended December 31, 2023, 2024 and 2025, respectively. We have relied and expect to continue to rely on contractual arrangements with the VIE and its shareholders to conduct our business. These contractual arrangements may not be as effective as direct ownership in directing the business operations of the VIE. For example, the VIE and its shareholders could breach their contractual arrangements with us by, among other things, failing to conduct the VIE’s operations in an acceptable manner or taking other actions that are detrimental to our interests.</w:t>
      </w:r>
    </w:p>
    <w:p>
      <w:pPr>
        <w:spacing w:after="0" w:line="1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had direct ownership of the VIE, we would be able to exercise our rights as a shareholder to effect changes in the board of directors of the VIE, which in turn could implement changes, subject to any applicable fiduciary obligations, at the management and operational level. However, under the current contractual arrangements, we rely on the performance by the VIE and its shareholders of their obligations under the contracts to direct the business operations of the VIE. However, the shareholders of the VIE may not act in the best interests of our company or may not perform their obligations under these contracts. Such risks exist throughout the period in which we intend to operate certain portions of our business through the contractual arrangements with the VIE. If any disputes relating to these contracts remains unresolved, we will have to enforce our rights under these contracts through the operations of the law of mainland China and arbitration, litigation and other legal proceedings and therefore will be subject to uncertainties in the PRC legal system. See “—Any failure by the VIE or its shareholders to perform their obligations under our contractual arrangements with them would have a material and adverse effect on our business.” Therefore, our contractual arrangements with the VIE and its shareholders may not be as effective in ensuring our ability to direct the relevant portion of our and the VIE’s business operations as direct ownership would be.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by the VIE or its shareholders to perform their obligations under our contractual arrangements with them would have a material and adverse effect on our business.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refer to the shareholders of the VIE as its nominee shareholders because although they remain the holders of equity interests on record in the VIE, pursuant to the terms of the shareholder voting proxy agreement, each such shareholder has irrevocably authorized our company to exercise his rights as a shareholder of the VIE. However, if the VIE or its shareholders fail to perform their respective obligations under the contractual arrangements, we may have to incur substantial costs and expend additional resources to enforce such arrangements. We may also have to rely on legal remedies under the laws of mainland China, including seeking specific performance or injunctive relief, and claiming damages, which we cannot assure will be effective under the laws of mainland China. For example, if the shareholders of the VIE refuse to transfer their equity interest in the VIE to us or our designee if we exercise the purchase option pursuant to these contractual arrangements, or if they otherwise act in bad faith toward us, then we may have to take legal actions to compel them to perform their contractual obligations.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All of these contractual arrangements are governed by and interpreted in accordance with the laws of mainland China, and disputes arising from these contractual arrangements between us and the VIE will be resolved through arbitration in mainland China. These disputes do not include claims arising under the United States federal securities law and thus the arbitration provisions do not prevent our shareholders from pursuing claims under the United States federal securities law. The legal system in mainland China is not as developed as in some other jurisdictions, such as the United States. As a result, uncertainties in the PRC legal system could limit our ability to enforce these contractual arrangements. See “—Risks Related to Doing Business in China—There are uncertainties regarding the interpretation and enforcement of PRC laws, rules and regulations.” Meanwhile, there are very few precedents and little formal guidance as to how contractual arrangements in the context of a VIE should be interpreted or enforced under the laws of mainland China. There remain significant uncertainties regarding the ultimate outcome of such arbitration should legal action become necessary. In addition, under the laws of mainland China, awards by arbitrators are final, which means parties cannot appeal the arbitration results in courts, and if the losing parties fail to carry out the arbitration awards within a prescribed time limit, the prevailing parties may only enforce the arbitration awards in mainland China courts through arbitration award enforcement proceedings, which would require additional expenses and delay. In the event we are unable to enforce these contractual arrangements, or if we suffer significant delays or other obstacles in the process of enforcing these contractual arrangements, we may not be able to direct the activities of and derive economic benefits from the VIE, and our ability to conduct our business may be negatively affected.</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Contractual arrangements in relation to the VIE may be subject to scrutiny by the mainland China’s tax authorities and they may determine that we or the VIE owe additional taxes, which could negatively affect our financial condition and the value of your investment.</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applicable laws and regulations of mainland China, arrangements and transactions among related parties may be subject to audit or challenge by the mainland China’s tax authorities. We could face material and adverse tax consequences if the mainland China’s tax authorities determine that the VIE contractual arrangements were not entered into on an arm’s length basis in such a way as to result in an impermissible reduction in taxes under applicable laws, rules and regulations of mainland China, and adjust the income of the VIE in the form of a transfer pricing adjustment. A transfer pricing adjustment could, among other things, result in a reduction of expense deductions recorded by the VIE for mainland China tax purposes, which could in turn increase its tax liabilities without reducing our WFOE’s tax expenses. In addition, the mainland China’s tax authorities may impose late payment fees and other penalties on the VIE for the adjusted but unpaid taxes according to the applicable regulations. Our financial position could be materially and adversely affected if the VIE’s tax liabilities increase or if it is required to pay late payment fees and other penalties.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shareholders of the VIE may have potential conflicts of interest with us, which may materially and adversely affect our business and financial condition.</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shareholders of the VIE include Mr. Weidong Luo and Mr. Guangyan Chen. The shareholders of the VIE may have potential conflicts of interest with us. These shareholders may breach, or cause the VIE to breach, or refuse to renew, the existing contractual arrangements we have with them and the VIE, which would have a material and adverse effect on our ability to direct the business operations of the VIE and receive economic benefits from them. For example, the shareholders may be able to cause our agreements with the VIE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Currently, we do not have any arrangements to address potential conflicts of interest between these shareholders and our company, except that we could exercise our purchase option under the exclusive option agreements with these shareholders to request them to transfer all of their equity interests in the VIE to a mainland China entity or individual designated by us, to the extent permitted by the laws of mainland China. We rely on Mr. Luo and Mr. Chen to abide by the laws of the Cayman Islands, which provide that directors owe a fiduciary duty to the company that requires them to act in good faith and in what they believe to be the best interests of the company and not to use their position for personal gains. If we cannot resolve any conflict of interest or dispute between us and the shareholders of the VIE, we would have to rely on legal proceedings, which could result in disruption of our business and subject us to substantial uncertainty as to the outcome of any such legal proceedings.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shareholders of the VIE may be involved in personal disputes with third parties or other incidents that may have an adverse effect on their respective equity interests in the VIE and the validity or enforceability of our contractual arrangements with the VIE and its shareholders. For example, in the event that any of the shareholders of the VIE divorces his or her spouse, the spouse may claim that the equity interest of the VIE held by such shareholder is part of their community property and should be divided between such shareholder and his or her spouse. If such claim is supported by the court, the relevant equity interest may be obtained by the shareholder’s spouse or another third party who is not subject to obligations under our contractual arrangements, which could result in a loss of our ability to direct the activities of and derive economic benefits from the VIE. Similarly, if any of the equity interests of the VIE is inherited by a third party on whom the current contractual arrangements are not binding, we could lose our ability to direct the business operations of the VIE or have to maintain such ability by incurring unpredictable costs, which could cause significant disruption to our business and operations and harm our financial condition and results of operations.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under our current contractual arrangements, it is expressly provided that all these agreements and the rights and obligations thereunder shall be equally effective and binding on the heirs and successors of the parties to the contractual arrangements, we cannot assure you that these undertakings and arrangements will be complied with or effectively enforced. In the event that any of them is breached or becomes unenforceable and leads to legal proceedings, it could disrupt our business, distract our management’s attention and subject us to substantial uncertainties as to the outcome of any such legal proceedings.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paid by our mainland China subsidiary to fund any cash and financing requirements we may have. Any limitation on the ability of our mainland China subsidiary to pay dividends to us could have a material adverse effect on our ability to conduct our business and to pay dividends to holders of the ADSs and our Class A common shares.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holding company, and we may rely on dividends to be paid by our wholly-owned mainland China subsidiary for our cash and financing requirements, including the funds necessary to pay dividends and other cash distributions to the holders of the ADSs and our Class A common shares and service any debt we may incur. If our wholly-owned mainland China subsidiary incur debt on their own behalf in the future, the instruments governing the debt may restrict their ability to pay dividends or make other distributions to us.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laws and regulations of mainland China, wholly foreign-owned enterprises in mainland China, such as our WFOE, may pay dividends only out of its accumulated profits as determined in accordance with mainland China’s accounting standards and regulations. In addition, a wholly foreign-owned enterprise is required to set aside at least 10% of its after-tax profits each year, after making up previous years’ accumulated losses, if any, to fund certain statutory reserve funds, until the aggregate amount of such a fund reaches 50% of its registered capital. At the discretion of the board of director of the wholly foreign-owned enterprise, it may allocate a portion of its after-tax profits based on mainland China’s accounting standards to staff welfare and bonus funds. These reserve funds and staff welfare and bonus funds are not distributable as cash dividends. Any limitation on the ability of our wholly-owned mainland China subsidiary to pay dividends or make other distributions to us could materially and adversely limit our ability to grow, make investments or acquisitions that could be beneficial to our business, pay dividends, or otherwise fund and conduct our business.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the ability to use and enjoy assets held by the VIE that are material to the operation of certain portion of our business if the VIE goes bankrupt or becomes subject to a dissolution or liquidation proceeding.</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part of our contractual arrangements with the VIE, the VIE holds certain assets that are material to the operation of certain portion of our business, including intellectual property and premise, foreign-related investigation license, value-added telecommunication business operation licenses and certificate of high and new technology enterprise. If the VIE goes bankrupt and all or part of their assets become subject to liens or rights of third-party creditors, we may be unable to continue some or all of our business activities, which could materially and adversely affect our business, financial condition and results of operations. Under the contractual arrangements, the VIE may not, in any manner, sell, transfer, mortgage or dispose of their assets or legal or beneficial interests in the business without our prior consent. If the VIE undergoes a voluntary or involuntary liquidation proceeding, independent third-party creditors may claim rights to some or all of these assets, thereby hindering our ability to operate our business, which could materially and adversely affect our business,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chops of our mainland China subsidiary and the VIE are not kept safely, are stolen or are used by unauthorized persons or for unauthorized purposes, the corporate governance of these entities could be severely and adversely compromised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mainland China, a company chop or seal serves as the legal representation of the company towards third parties even when unaccompanied by a signature. Each legally registered company in mainland China is required to maintain a company chop, which must be registered with the local Public Security Bureau. In addition to this mandatory company chop, companies may have several other chops which can be used for specific purposes. The chops of our mainland China subsidiary and VIE are generally held securely by personnel designated or approved by us in accordance with our internal control procedures. To the extent those chops are not kept safely, are stolen or are used by unauthorized persons or for unauthorized purposes, the corporate governance of these entities could be severely and adversely compromised and those corporate entities may be bound to abide by the terms of any documents so chopped, even if they were chopped by an individual who lacked the requisite power and authority to do so. In addition, if the chops are misused by unauthorized persons, we could experience disruption to our normal business operations. We may have to take corporate or legal action, which could involve significant time and resources to resolve while distracting management from our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approval and/or other requirements of the CSRC or other PRC governmental authorities may be required in connection with an offering under rules, regulations or policies of mainland China, and, if required, we and the VIE cannot predict whether or how soon we will be able to obtain such approval.</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Regulations on Mergers and Acquisitions of Domestic Enterprises by Foreign Investors, or the M&amp;A Rules, purport to require offshore special purpose vehicles that are controlled by companies or individuals in mainland China and that have been formed for the purpose of seeking a public listing on an overseas stock exchange through acquisitions of domestic companies registered in mainland China or assets to obtain CSRC approval prior to publicly listing their securities on an overseas stock exchange. The interpretation and application of the regulations remain unclear. If a governmental approval is required, it is uncertain how long it will take for us to obtain such approval, and, even if we obtain such approval, the approval could be rescinded. Any failure to obtain or a delay in obtaining the requisite governmental approval for an offering, or a rescission of such CSRC approval if obtained by us, may subject us to sanctions imposed by the PRC regulatory authority, which could include fines and penalties on our and the VIE’s operations in mainland China, restrictions or limitations on our ability to pay dividends outside of China, and other forms of sanctions that may materially and adversely affect our business, financial condition, and results of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However, our PRC counsel has further advised us that there remains some uncertainty as to how the M&amp;A Rules will be interpreted or implemented in the context of an overseas offering, and its opinions summarized above are subject to any new laws, rules and regulations or detailed implementations and interpretations in any form relating to the M&amp;A Rules. We cannot assure you that PRC governmental authorities, including the CSRC, would reach the same conclusion as our PRC counsel, and hence, we may face regulatory actions or other sanctions from them. Furthermore, PRC governmental authorities promulgated the Opinions on Strictly Cracking Down Illegal Securities Activities, which provided that the administration and supervision of overseas-listed China-based companies will be strengthened, and the special provisions of the State Council on overseas issuance and listing of shares by such companies will be revised, clarifying the responsibilities of domestic industry competent authorities and regulatory authorities. However, there remain uncertainties regarding the interpretation and implementation of these opinions. It is possible that any new rules or regulations may impose additional requirements on us. In addition, on December 28, 2021, the Cyberspace Administration of China issued the Measures for Cybersecurity Reviews, which came into effect on February 15, 2022, according to which, among others, operators of “critical information infrastructure” or data processors holding over one million users’ personal information shall apply to the Cybersecurity Review Office for a cybersecurity review before any listing on a foreign stock exchange. On July 7, 2022, the Cyberspace Administration of China promulgated the Measures on Security Assessment of Cross-border Data Transfer, which became effective on September 1, 2022. These measures require that any data processor who processes or exports personal information exceeding a certain volume threshold pursuant to these measures shall apply for a security assessment by the Cyberspace Administration of China before transferring any personal information abroad. The security assessment requirement also applies to any transfer of important data outside of mainland China. There are uncertainties regarding how the Cyber security Review Measures and the Measures on Security Assessment of Cross-border Data Transfer would be interpreted and enforced, and to what extent they may affect us. As of the date of this annual report, we and the VIE have not been involved in any investigations on cybersecurity review made by the Cyberspace Administration of China on such basis, and we and the VIE have not received any inquiry, notice, warning, or sanctions in such respect. However, the governmental authorities may impose restrictions and penalties on our and the VIE’s operations in mainland China, such as the suspension of our apps and services, revocation of our licenses, or shutting down part or all of our operations, limit our ability to pay dividends outside of China, delay or restrict the repatriation of the proceeds from an offering into China or take other actions that could have a material adverse effect on our business, financial condition, results of operations and prospects, as well as the trading price of the ADSs. The PRC governmental authorities may also take actions requiring us, or making it advisable for us, to halt an offering before settlement and delivery of the ADSs offered hereby. Consequently, if you engage in market trading or other activities in anticipation of and prior to settlement and delivery, you do so at the risk that settlement and delivery may not occur. In addition, if the PRC governmental authorities later promulgate new rules or explanations requiring that we and the VIE obtain their approvals for filings, registrations or other kinds of authorizations for an offering, we cannot assure you that we and the VIE can obtain the approval, authorizations, or complete required procedures or other requirements in a timely manner, or at all, or obtain a waiver of the requisite requirements if and when procedures are established to obtain such a waiver.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uncertainties regarding the interpretation and enforcement of PRC laws, rules and regulations.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conduct our business primarily through our mainland China subsidiary and the VIE in mainland China. Our operations in mainland China are governed by laws and regulations of mainland China. Our mainland China subsidiary is subject to laws and regulations applicable to foreign investment in mainland China. The legal system in mainland China is a civil law system based on written statutes. Unlike the common law system, prior court decisions under the civil law system may be cited for reference but have limited precedential value. In addition, any new or changes in laws and regulations of mainland China related to foreign investment in mainland China could affect the business environment and our ability to operate our business in mainland China.</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Any administrative and court proceedings in mainland China may be protracted, resulting in substantial costs and diversion of resources and management attention. Since administrative and court authorities of mainland China have significant discretion in interpreting and implementing statutory provisions and contractual terms, it may be more difficult to evaluate the outcome of administrative and court proceedings and the level of legal protection we enjoy than in more developed legal systems. These uncertainties may impede our ability to enforce the contracts we have entered into and could materially and adversely affect our business and results of operations.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the legal system in mainland China is based in part on government policies and mainland China is geographically large and divided into various provinces and municipalities. As such, different regulations and policies may have different and varying applications and interpretations in different parts of mainland China, and it is possible that we may not be aware of our violation of any of these policies and rules until sometime after the occurrence of the violation. In addition, certain administrative and court proceedings in mainland China may result in substantial costs and diversion of resources and management attention.</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mainland China’s economic, political or social conditions or government policies could have a material adverse effect on our and the VIE’s business and operations.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significant majority of our assets and operations are located in mainland China. Accordingly, our business, financial condition, results of operations and prospects may be influenced to a significant degree by political, economic and social conditions in mainland China generally and by continued economic growth in China as a whole.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the Chinese economy has experienced significant growth over the past decades, growth has been uneven, both geographically and among various sectors of the economy. Any adverse changes in economic conditions in mainland China, in the policies of the PRC government or in the laws and regulations in mainland China could have a material adverse effect on the overall economic growth of China. Such developments could adversely affect our business and operating results, lead to reduction in demand for our services and adversely affect our competitive position. The PRC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w:t>
      </w:r>
    </w:p>
    <w:p>
      <w:pPr>
        <w:spacing w:after="0" w:line="18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the VIE may be adversely affected by the complexity, uncertainties and changes in the regulation of internet-related businesses and companies in mainland China, and any lack of requisite approvals, licenses or permits applicable to our and the VIE’s business may have a material adverse effect on our and the VIE’s business and results of operations.</w:t>
      </w:r>
    </w:p>
    <w:p>
      <w:pPr>
        <w:spacing w:after="0" w:line="17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PRC government extensively regulates the internet industry, including foreign ownership of, and the licensing and permit requirements pertaining to, companies in the internet industry. These internet-related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only have contractual control over our website. We do not directly own the website due to the restrictions on foreign investment in businesses providing value-added telecommunications services in mainland China, including internet information provision services. This may significantly disrupt our business, subject us to sanctions, compromise enforceability of related contractual arrangements, or have other harmful effects on us.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evolving PRC regulatory system for the internet industry may lead to the establishment of new regulatory agencies. For example, in May 2011, the State Council announced the establishment of a new department, Cyberspace Administration of China (with the involvement of the State Council Information Office, the MITT, and the Ministry of Public Security). The primary role of this new agency is to facilitate the policy-making and legislative development in this field, to direct and coordinate with the departments in connection with online content administration and to deal with cross-ministry regulatory matters in relation to the internet industry.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interpretation and application of existing laws, regulations and policies and possible new laws, regulations or policies of mainland China relating to the internet industry have created substantial uncertainties regarding the legality of existing and future foreign investments in, and the businesses and activities of, internet businesses in mainland China, including our business. We cannot assure you that we have obtained all the permits or licenses required for conducting our business in mainland China or will be able to maintain our existing licenses or obtain new ones. If the PRC government considers that we were operating without the proper approvals, licenses or permits or promulgates new laws and regulations that require additional approvals or licenses or imposes additional restrictions on the operation of any part of our business, it has the power, among other things, to levy fines, confiscate our income, revoke our business licenses, and require us to discontinue our business or impose restrictions on the affected portion of our business. Any of these actions by the PRC government may have a material adverse effect on our business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mainland China resident enterprise for income tax purposes, such classification could result in unfavorable tax consequences to us and our non-mainland-China shareholders or ADS holders.</w:t>
      </w:r>
    </w:p>
    <w:p>
      <w:pPr>
        <w:spacing w:after="0" w:line="131"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Under the mainland China Enterprise Income Tax Law and its implementation rules, an enterprise established outside of the mainland China with a “de facto management body” within the mainland China is considered a “resident enterprise” and will be subject to the enterprise income tax on its global income at the rate of 25%. The implementation rules define the term “de facto management body” as the body that exercises full and substantial control over and overall management of the business, productions, personnel, accounts and properties of an enterprise. In 2009, the State Administration of Taxation issued a circular, known as SAT Circular 82, which provides certain specific criteria for determining whether the “de facto management body” of a mainland-China-controlled enterprise that is incorporated offshore is located in mainland China. Although this circular only applies to offshore enterprises controlled by mainland China enterprises or mainland China enterprise groups, not those controlled by mainland China individuals or foreigners, the criteria set forth in the circular may reflect the State Administration of Taxation’s general position on how the “de facto management body” test should be applied in determining the tax resident status of all offshore enterprises. According to SAT Circular 82, an offshore incorporated enterprise controlled by a mainland China enterprise or a mainland China enterprise group will be regarded as a mainland China tax resident by virtue of having its “de facto management body” in mainland China and will be subject to mainland China’s enterprise income tax on its global income only if all of the following conditions are met: (i) the primary location of the day-to-day operational management and the places where they perform their duties are in the mainland China; (ii) decisions relating to the enterprise’s financial and human resource matters are made or are subject to approval by organizations or personnel in the mainland China; (iii) the enterprise’s primary assets, accounting books and records, company seals, and board and shareholder resolutions, are located or maintained in the mainland China; and (iv) at least 50% of voting board members or senior executives habitually reside in the mainland China.</w:t>
      </w:r>
    </w:p>
    <w:p>
      <w:pPr>
        <w:spacing w:after="0" w:line="151"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color w:val="auto"/>
        </w:rPr>
        <w:t>We believe none of our entities outside of mainland China is a mainland China resident enterprise for mainland China tax purposes. See “Item 4. Information on the Company—B. Business Overview—Regulations—Regulations on Tax—Mainland China Enterprise Income Tax.” However, the tax resident status of an enterprise is subject to determination by the mainland China’s tax authorities and uncertainties remain with respect to the interpretation of the term “de facto management body.” If the mainland China’s tax authorities determine that we are a mainland China resident enterprise for enterprise income tax purposes, we may be required to withhold a 10% withholding tax, unless a reduced rate is available under an applicable tax treaty, from dividends we pay to our shareholders that are non-resident enterprises, including the holders of the ADSs. In addition, non-resident enterprise shareholders (including ADS holders) may be subject to mainland China’s tax on gains realized on the sale or other disposition of ADSs or Class A common shares, if such income is treated as sourced from within the mainland China. Furthermore, if we are deemed a mainland China resident enterprise, dividends payable to our non-domestic individual shareholders (including ADS holders) and any gain realized on the transfer of ADSs or Class A common shares by such shareholders may be subject to mainland China’s tax at a rate of 20% unless a reduced rate is available under an applicable tax treaty. It is unclear whether non-domestic shareholders of our company would be able to claim the benefits of any tax treaties between their country of tax residence and the mainland China in the event that we are treated as a mainland China resident enterprise. Any such tax may reduce the returns on your investment in the ADSs or our Class A common shares.</w:t>
      </w:r>
    </w:p>
    <w:p>
      <w:pPr>
        <w:spacing w:after="0" w:line="1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face uncertainty with respect to indirect transfers of equity interests in mainland China resident enterprises by their non-mainland China holding companies.</w:t>
      </w:r>
    </w:p>
    <w:p>
      <w:pPr>
        <w:spacing w:after="0" w:line="11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7"/>
          <w:szCs w:val="17"/>
          <w:color w:val="auto"/>
        </w:rPr>
        <w:t>On February 3, 2015, the State Administration of Taxation issued the Announcement of the State Administration of Taxation on Several Issues Concerning the Enterprise Income Tax on Indirect Property Transfer by Non-Resident Enterprises, or SAT Circular 7. SAT Circular 7 extends the mainland China’s tax jurisdiction to not only indirect transfers but also transactions involving transfer of other taxable assets through offshore transfer of a foreign intermediate holding company. In addition, SAT Circular 7 provides clear criteria for assessment of reasonable commercial purposes and has introduced safe harbors for internal group restructurings and the purchase and sale of equity through a public securities market. SAT Circular 7 also brings challenges to both foreign transferor and transferee (or other person who is obligated to pay for the transfer) of taxable assets. Where a non-resident enterprise transfers taxable assets indirectly by disposing of the equity interests of an overseas holding company, which is an Indirect Transfer, the non-resident enterprise, being the transferor, or the transferee, or the mainland China entity that directly owns the taxable assets, may report such Indirect Transfer to the tax authority. Using a “substance over form” principle, the mainland China’s tax authority may disregard the existence of the overseas holding company if it lacks a reasonable commercial purpose and was established for the purpose of reducing, avoiding or deferring mainland China’s tax. As a result, gains derived from such Indirect Transfer may be subject to mainland China’s enterprise income tax, and the transferee or other person who is obligated to pay for the transfer is obligated to withhold the applicable taxes, currently at a rate of 10% for the transfer of equity interests in a mainland China resident enterprise. Both the transferor and the transferee may be subject to penalties under the tax laws of mainland China, if the transferee fails to withhold the taxes and the transferor fails to pay the taxes.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On October 17, 2017, the State Administration of Taxation issued the Announcement of the State Administration of Taxation on Matters Concerning Withholding of Income Tax of Non-resident Enterprises at Source, or SAT Circular 37. SAT Circular 37 details and clarifies the tax withholding methods in respect of income of non-resident enterprises. And certain rules stipulated in SAT Circular 7 are replaced by SAT Circular 37. Where the non-resident enterprise fails to declare the tax payable pursuant to Article 39 of the mainland China Enterprise Income Tax Law, the tax authority may order it to pay the tax due within required time limits, and the non-resident enterprise shall declare and pay the tax payable within such time limits specified by the tax authority; however, if the non-resident enterprise voluntarily declares and pays the tax payable before the tax authority orders it to do so within required time limits, it shall be deemed that such enterprise has paid the tax in time.</w:t>
      </w:r>
    </w:p>
    <w:p>
      <w:pPr>
        <w:spacing w:after="0" w:line="12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We face uncertainties as to the reporting and other implications of certain past and future transactions where domestic taxable assets are involved, such as offshore restructuring, sale of the shares in our offshore subsidiaries and investments. Our company may be subject to filing obligations or taxed if our company is transferor in such transactions, and may be subject to withholding obligations if our company is transferee in such transactions, under SAT Circular 7 and SAT Circular 37. For transfer of shares in our company by investors who are non-resident enterprises, our mainland China subsidiary may be requested to assist in the filing under SAT Circular 7 and SAT Circular 37. As a result, we may be required to expend valuable resources to comply with SAT Circular 7 and SAT Circular 37 or to request the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116"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If our preferential tax treatments are revoked, become unavailable or if the calculation of our tax liability is successfully challenged by the mainland China’s tax authorities, we may be required to pay tax, interest and penalties in excess of our tax provisions, and our results of operations could be materially and adversely affected.</w:t>
      </w:r>
    </w:p>
    <w:p>
      <w:pPr>
        <w:spacing w:after="0" w:line="9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The PRC government has provided various tax incentives to the VIE in mainland China. These incentives include reduced enterprise income tax rates. For example, under the Enterprise Income Tax Law and its implementation rules, the statutory enterprise income tax rate is 25%. However, enterprises which obtained a new software enterprise certification were entitled to an exemption of enterprise income tax for the first two years and a 50% reduction of enterprise income tax for the subsequent three years, commencing from the first profit-making year. In addition, the income tax of an enterprise that has been determined to be a high and new technology enterprise can be reduced to a preferential rate of 15%. The VIE obtained the certificate of high and new technology enterprise in December 2022 with a validity period of three years starting from December 2025 onwards. Any increase in the enterprise income tax rate applicable to our mainland China subsidiary or the VIE in mainland China, or any discontinuation or retroactive or future reduction of any of the preferential tax treatments currently enjoyed by our mainland China subsidiary or the VIE in mainland China, could adversely affect our business, financial condition and results of operations. In addition, in the ordinary course of our business, we are subject to complex income tax and other tax regulations and significant judgment is required in the determination of a provision for income taxes. Although we believe our tax provisions are reasonable, if the mainland China’s tax authorities successfully challenge our position and we are required to pay tax, interest and penalties in excess of our tax provisions, our financial condition and results of operations would be materially and adversely affected.</w:t>
      </w:r>
    </w:p>
    <w:p>
      <w:pPr>
        <w:spacing w:after="0" w:line="11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Uncertainties exist with respect to the interpretation and implementation of Anti-Monopoly Guidelines for Internet Platforms and how it may impact our or the VIE’s business operations.</w:t>
      </w:r>
    </w:p>
    <w:p>
      <w:pPr>
        <w:spacing w:after="0" w:line="7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In February 2021, the Anti-Monopoly Guidelines for Internet Platforms was promulgated by the Anti-monopoly Commission of the PRC State Council. The Anti-Monopoly Guidelines for Internet Platforms is consistent with the Anti-Monopoly Law of mainland China and prohibits monopoly agreements, abuse of dominant position and concentration of undertakings that may have the effect of eliminating or restricting competitions in the field of platform economy. More specifically, the Anti-Monopoly Guidelines for Internet Platforms outlines certain practices that may, if without justifiable reasons, constitute abuse of dominant position, including without limitation, tailored pricing using big data and analytics, actions or arrangements seen as exclusivity arrangements, using technology means to block competitors’ interface, using bundled services to sell services or products, and compulsory collection of user data. Besides, Anti-Monopoly Guidelines for Internet Platforms expressly states that concentration involving VIE will also be subject to antitrust filing requirements.</w:t>
      </w:r>
    </w:p>
    <w:p>
      <w:pPr>
        <w:spacing w:after="0" w:line="122"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In April 2021, the State Administration for Market Regulation, together with certain other PRC government authorities convened an administrative guidance meeting, focusing on unfair competition acts in community group buying, self-inspection and rectification by major internet companies of possible violations of anti-monopoly, anti-unfair competition, tax and other related laws and regulations, and requesting such companies to comply with laws and regulations strictly and be subject to public supervision. In addition, many internet companies, including the over 30 companies which attended such administrative guidance meeting, are required to conduct a comprehensive self-inspection and make necessary rectification accordingly. The State Administration for Market Regulation has stated it will organize and conduct inspections on the companies’ rectification results. If the companies are found to conduct illegal activities, more severe penalties are expected to be imposed on them in accordance with the laws.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On June 24, 2022, the Standing Committee of the National People’s Congress published amendments to the Anti-Monopoly Law, which came into effect on August 1, 2022. These amendments formally implement China’s latest anti-monopoly policies by, among other things, improving regulatory rules for anti-competitive agreements, expressly addressing monopoly issues in the platform economy, and substantially increasing the penalties for violating the law. These amendments formally extend the antimonopoly regulatory regime to the platform economy by outlining the general principal that business operators shall not engage in monopolistic activities, such as by taking advantage of data and algorithms, technology, capital advantage, and platform rules. These amendments also specifically prohibit business operators from abusing its market dominance, such as by using data and algorithms, technology, and platform rules. Penalties for violation of the Anti-Monopoly Law have been substantially increased in these amendments. For example, according to these amendments, if a company completes a concentration of business in violation of the Anti-Monopoly Law that will or is likely to have an effect of eliminating or restricting competition, in addition to other remedial measures, a fine of up to 10% of the last year’s sales revenue may be imposed. If the concentration of business in violation of the Anti-Monopoly Law completed by the company does not have the effect of eliminating or restricting competition, a fine of up to RMB5 million may be imposed. In the case that the aforementioned violation has particularly serious circumstances, bad impact, or consequences, the fine imposed may be further increased to between two and five times the aforementioned fine amount. Due to the enhanced implementation of the Anti-Monopoly Law, we and the VIE may be under heightened regulatory scrutiny, which will increase our compliance costs and subject us and the VIE to heightened risks and challenges. On March 24, 2023, the State Administration for Market Regulation promulgated four supporting regulations of the Anti-Monopoly Law, including the Review Measures of Concentration of Undertakings, the Provisions on the Prohibition of Monopoly Agreements, the Provisions on the Prohibitions of Acts of Abuse of Dominant Market Positions, and the Provisions on Curbing the Abuse of Administrative Power to Exclude or Restrict Competition, which took effect on April 15, 2023. Subsequently, the Provisions on the Prohibition of Monopoly Agreements were amended and promulgated on December 9, 2025, and the Provisions on Curbing the Abuse of Administrative Power to Exclude or Restrict Competition were amended and promulgated on December 18, 2025, both of which took effect on February 1, 2026. These regulations have, among other things, elaborated on the specific requirements under the Anti-Monopoly Law, optimized the regulatory and enforcement procedures, and strengthened the legal responsibilities of the parties.</w:t>
      </w: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the Anti-Monopoly Guidelines for Internet Platforms and the supporting regulations of the Anti-Monopoly Law are relatively new, uncertainties still exist in relation to its interpretation and implementation, although we do not believe we or the VIE engage in any foregoing situations, we cannot assure you that our or the VIE’s business operations will comply with such regulation in all respects, and any failure or perceived failure by us or the VIE to comply with such regulation may result in governmental investigations, fines and/or other sanctions on us or the VIE.</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Regulations of mainland China relating to the establishment of offshore special purpose companies by mainland China residents may subject our mainland China resident beneficial owners or our mainland China subsidiary to liability or penalties, limit our ability to inject capital into our mainland China subsidiary, limit our mainland China subsidiary’s ability to increase their registered capital or distribute profits to us, or may otherwise adversely affect us.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July 2014, the SAFE promulgated the Circular on Relevant Issues Concerning Foreign Exchange Control on Domestic Residents’ Offshore Investment and Financing and Roundtrip Investment Through Special Purpose Vehicles, or SAFE Circular 37. SAFE Circular 37 requires mainland China residents (including mainland China individuals and mainland China corporate entities as well as foreign individuals that are deemed as mainland China residents for foreign exchange administration purpose) to register with the SAFE or its local branches in connection with their direct or indirect offshore investment activities. SAFE Circular 37 is applicable to our shareholders who are mainland China residents and may be applicable to any offshore acquisitions that we make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SAFE Circular 37, mainland China residents who make, or have prior to the implementation of SAFE Circular 37 made, direct or indirect investments in offshore special purpose vehicles will be required to register such investments with the SAFE or its local branches. In addition, any mainland China resident who is a direct or indirect shareholder of a special purpose vehicle, is required to update its filed registration with the local branch of the SAFE with respect to that special purpose vehicle, to reflect any material change. Moreover, any subsidiary of such special purpose vehicle in mainland China is required to urge the mainland China resident shareholders to update their registration with the local branch of the SAFE. If any domestic shareholder of such special purpose vehicle fails to make the required registration or to update the previously filed registration, the subsidiary of such special purpose vehicle in mainland China may be prohibited from distributing its profits or the proceeds from any capital reduction, share transfer or liquidation to the special purpose vehicle, and the special purpose vehicle may also be prohibited from making additional capital contributions into its subsidiary in mainland China. On February 13, 2015, the SAFE promulgated a Notice on Further Simplifying and Improving Foreign Exchange Administration Policy on Direct Investment, which became effective on June 1, 2015. Under this notice, applications for foreign exchange registration of inbound foreign direct investments and outbound overseas direct investments, including those required under SAFE Circular 37, will be filed with qualified banks instead of the SAFE. The qualified banks will directly examine the applications and accept registrations under the supervision of the SAFE.</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requested mainland China residents who we know hold direct or indirect interest in our company to make the necessary applications, filings and registrations as required under SAFE Circular 37 and those mainland China resident shareholders that hold direct interest in our company have completed all necessary registrations with the local SAFE branch or qualified banks as required by SAFE Circular 37. However, we may not be informed of the identities of all the mainland China residents holding direct or indirect interest in our company, and we cannot provide any assurance that these mainland China residents will comply with our request to make or obtain any applicable registrations or comply with other requirements under SAFE Circular 37 or other related rules. The failure or inability of our mainland China resident shareholders to comply with the registration procedures set forth in these regulations may subject us to fines and legal sanctions, restrict our cross-border investment activities, limit the ability of our wholly foreign-owned subsidiary in mainland China to distribute dividends and the proceeds from any reduction in capital, share transfer or liquidation to us, and we may also be prohibited from injecting additional capital into the subsidiary. Moreover, failure to comply with the various foreign exchange registration requirements described above could result in liability under the laws of mainland China for circumventing applicable foreign exchange restrictions. As a result, our and the VIE’s business operations and our ability to distribute profits to you could be materially and adversely affected.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as these foreign exchange regulations are still relatively new and their interpretation and implementation has been constantly evolving, it is unclear how these regulations, and any future regulation concerning offshore or cross-border transactions, will be interpreted, amended and implemented by the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In addition, if we decide to acquire a domestic company registered in mainland China,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regulation of mainland China on loans to and direct investment in mainland China entities by offshore holding companies and governmental control of currency conversion may delay or prevent us from using the proceeds of our initial public offering to make loans or additional capital contributions to our mainland China subsidiary, which could materially and adversely affect our liquidity and our ability to fund and expand our business.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an offshore holding company conducting our operations in mainland China through our mainland China subsidiary and the VIE. We may make loans to our mainland China subsidiary and the VIE subject to the approval or registration from governmental authorities and limitation of amount, or we may make additional capital contributions to our wholly foreign-owned subsidiary in mainland China. Any loans to our wholly foreign-owned subsidiary in mainland China, which are treated as foreign-invested enterprises under the laws of mainland China, are subject to foreign exchange loan registrations. In addition, a foreign-invested enterprise shall use its capital pursuant to the principle of authenticity and self-use within its business scope. The capital of a foreign-invested enterprise shall not be used for the following purposes: (i) directly or indirectly used for payment beyond the business scope of the enterprises or the payment prohibited by laws and regulations; (ii) directly or indirectly used for investment in securities or investments other than banks’ principal-secured products unless otherwise provided by laws and regulations; (iii) the granting of loans to non-affiliated enterprises, except where it is expressly permitted in the business license; and (iv) paying the expenses related to the purchase of real estate that is not for self-use (except for the foreign-invested real estate enterprises).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light of the various requirements imposed by regulations of mainland China on loans to and direct investment in mainland China entities by offshore holding companies, we cannot assure you that we will be able to complete the necessary government registrations or obtain the necessary government approvals on a timely basis, if at all, with respect to future loans by us to our mainland China subsidiary or the VIE or with respect to future capital contributions by us to our mainland China subsidiary. If we fail to complete such registrations or obtain such approvals, our ability to use the proceeds from our initial public offering and to capitalize or otherwise fund our mainland China operations may be negatively affected, which could materially and adversely affect our liquidity and our ability to fund and expand our business.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and other distributions on equity paid by our mainland China subsidiary to fund any cash and financing requirements we may have, and any limitation on the ability of our mainland China subsidiary to make payments to us could have a material and adverse effect on our ability to conduct our business.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 Cayman Islands holding company and we rely principally on dividends and other distributions on equity from our mainland China subsidiary for our cash requirements, including the funds necessary to pay dividends and other cash distributions to our shareholders for services of any debt we may incur. If our mainland China subsidiary incurs debt on its own behalf in the future, the instruments governing the debt may restrict its ability to pay dividends or make other distributions to us. Under laws and regulations of mainland China, our mainland China subsidiary, which is a wholly foreign-owned enterprise, may pay dividends only out of its respective accumulated profits as determined in accordance with mainland China’s accounting standards and regulations. In addition, a wholly foreign-owned enterprise is required to set aside at least 10% of its accumulated after-tax profits each year, if any, to fund a certain statutory reserve fund, until the aggregate amount of such fund reaches 50% of its registered capital. Such reserve funds cannot be distributed to us as dividends. At its discretion, a wholly foreign-owned enterprise may allocate a portion of its after-tax profits based on mainland China’s accounting standards to an enterprise expansion fund, or a staff welfare and bonus fund.</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mainland China subsidiary generates primarily all of their revenue in Renminbi, which is not freely convertible into other currencies. As result, any restriction on currency exchange may limit the ability of our mainland China subsidiary to use their Renminbi revenues to pay dividends to us.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PRC government may continue to strengthen its capital controls, and more restrictions and substantial vetting process may be put forward by the SAFE for cross-border transactions falling under both the current account and the capital account. Any limitation on the ability of our mainland China subsidiary to pay dividends or make other kinds of payments to us could materially and adversely limit our ability to grow, make investments or acquisitions that could be beneficial to our business, pay dividends, or otherwise fund and conduct our business.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Enterprise Income Tax Law and its implementation rules provide that a withholding tax rate of up to 10% will be applicable to dividends payable by Chinese companies to non-resident enterprises unless otherwise exempted or reduced according to treaties or arrangements between the PRC central government and governments of other countries or regions where the non-resident enterprises are incorporated.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 material and adverse effect on our results of operations and the value of your investment.</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conversion of Renminbi into foreign currencies, including U.S. dollars, is based on rates set by the People’s Bank of China. The Renminbi has fluctuated against the U.S. dollar, at times significantly and unpredictably. The value of Renminbi against the U.S. dollar and other currencies is affected by changes in mainland China’s political and economic conditions and by China’s foreign exchange policies, among other things.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significant appreciation or depreciation of Renminbi may materially and adversely affect our revenues, earnings and financial position, and the value of, and any dividends payable on, our ADSs in U.S. dollars. For example, to the extent that we need to convert U.S. dollars we receive from our initial public offering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Class A common shares or the ADSs or for other business purposes, appreciation of the U.S. dollar against the Renminbi would have a negative effect on the U.S. dollar amount available to us.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Very limited hedging options are available in mainland China to reduce our exposure to exchange rate fluctuations. As of the date of this annual report, we have not entered into any effective hedging arrangements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exchange control regulations of mainland China that restrict our ability to convert Renminbi into foreign currency. As a result, fluctuations in exchange rates may have a material adverse effect on your investment.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Governmental control of currency conversion may limit our ability to utilize our cash balance effectively and affect the value of your investment.</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PRC government imposes controls on the convertibility of the Renminbi into foreign currencies and, in certain cases, the remittance of currency out of mainland China. We receive a significant majority all of our revenues in Renminbi. Under our current corporate structure, our Cayman Islands holding company primarily relies on dividend payments from our mainland China subsidiary to fund any cash and financing requirements we may have. Under existing foreign exchange regulations of mainland China, payments of current account items, including profit distributions, interest payments and trade and service-related foreign exchange transactions, can be made in foreign currencies without prior approval of the SAFE by complying with certain procedural requirements. Specifically, under the existing exchange restrictions, without prior approval of the SAFE, cash generated from the operations of our subsidiary in mainland China may be used to pay dividends to our company. However, approval from or registration with appropriate government authorities is required where Renminbi is to be converted into foreign currency and remitted out of mainland China to pay capital expenses such as the repayment of loans denominated in foreign currencies. As a result, we need to obtain the SAFE approval to use cash generated from the operations of our mainland China subsidiary and VIE to pay off their respective debt in a currency other than Renminbi owed to entities outside China, or to make other capital expenditure payments outside China in a currency other than Renminbi.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including holders of the ADSs.</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mainland China, a jurisdiction where the PCAOB was historically unable to conduct inspections and investigations completely before 2022. As a result, we and investors in the ADSs were deprived of the benefits of such PCAOB inspections.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and investors in our ADSs would be deprived of the benefits of such PCAOB inspections again, which could cause investors and potential investors in the ADSs to lose confidence in our audit procedures and reported financial information and the quality of our financial statements.</w:t>
      </w:r>
    </w:p>
    <w:p>
      <w:pPr>
        <w:spacing w:after="0" w:line="1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HFCAA,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December 16, 2021, the PCAOB issued a report to notify the SEC of its determination that the PCAOB was unable to inspect or investigate completely registered public accounting firms headquartered in mainland China and Hong Kong, and our auditor was subject to that determination. In April 2022, the SEC conclusively listed us as a Commission-Identified Issuer under the HFCAA following the filing of our annual report on Form 20-F for the fiscal year ended December 31, 2021. On December 15, 2022, the PCAOB removed mainland China and Hong Kong from the list of jurisdictions where it is unable to inspect or investigate completely registered public accounting firms. On December 29, 2022, the Consolidated Appropriations Act, 2023 was signed into law, which amended the HFCAA (i) to reduce the number of consecutive non-inspection years required for triggering the prohibitions under the HFCAA from three years to two, and (ii) so that any foreign jurisdiction could be the reason why the PCAOB does not have complete access to inspect or investigate a company’s auditors. As it was originally enacted, the HFCAA applied only if the PCAOB’s inability to inspect or investigate because of a position taken by an authority in the foreign jurisdiction where the relevant public accounting firm is located. As a result of the Consolidated Appropriations Act, 2023, the HFCAA now also applies if the PCAOB’s inability to inspect or investigate the relevant accounting firm is due to a position taken by an authority in any foreign jurisdiction. The denying jurisdiction does not need to be where the accounting firm is located. We were not identified as a Commission-Identified Issuer under the HFCAA after we filed our annual report on Form 20-F for the fiscal year ended December 31, 2024 and do not expect to be so identified after we file this annual report on Form 20-F for the fiscal year ended December 31, 2025.</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If our shares and ADSs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PRC government’s significant oversight over our or the VIE’s business operation could result in a material adverse change in our and the VIE’s operations and the value of our ADSs.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conduct our business primarily in mainland China through our subsidiaries and the VIE. The operations of our subsidiaries and the VIE in mainland China are governed by laws and regulations of mainland China. The PRC government has significant oversight over the conduct of our and the VIE’s business, and it may intervene or influence our and the VIE’s operations, as the government deems appropriate to advance regulatory and societal goals and policy positions. The PRC government has published new policies that significantly affected certain industries and we cannot rule out the possibility that it will in the future release regulations or policies that directly or indirectly affect our and the VIE’s industry or require us and the VIE to seek additional permission to continue our and the VIE’s operations, which could result in a material adverse change in our and the VIE’s operation and/or the value of our ADSs. Also, the PRC government has indicated an intent to exert more oversight over offerings that are conducted overseas and/or foreign investment in China-based issuers. Any such action could significantly limit or completely hinder our ability to offer or continue to offer securities to investors. In addition, implementation of industry-wide regulations directly targeting our operations could cause our securities to significantly decline in value or become worthless. Therefore, investors of our company and our and the VIE’s business face potential uncertainty from actions taken by the PRC government affecting our and the VIE’s business.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Rising international political tension, including changes in U.S. and international trade policies, particularly with regard to China, may adversely impact our business and operating results.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have been heightened tensions in international economic relations, and the global macroeconomic environment still faces numerous challenges. The Russia-Ukraine conflict, the Hamas-Israel conflict, attacks on shipping in the Red Sea, the military conflict between Israel and Iran (including U.S. participation) and the instability in Southeast Asia have heightened geopolitical tensions across the world. The impact of the Russia-Ukraine conflict on Ukraine food exports has contributed to increases in food prices and thus to inflation more generally. Similarly, the Israel-Iran conflict and the disruption to the Strait of Hormuz have contributed to significant volatility in global energy markets. Economic conditions in China are sensitive to global economic conditions, as well as changes in domestic economic and political policies and the expected or perceived overall economic growth rate in China. Any severe or prolonged slowdown in the global or Chinese economy may materially and adversely affect our business, results of operations and financial condition.</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tensions between the United States and China in recent years have led to additional, or higher tariffs imposed by the United States on products imported from China and restrictions on the sale of certain products into the United States. China has responded by imposing, and proposing to impose additional, or higher tariffs on products imported from the United States, among other measures.</w:t>
      </w:r>
    </w:p>
    <w:p>
      <w:pPr>
        <w:spacing w:after="0" w:line="13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United States and various foreign governments have also imposed license requirements and restrictions on the export of technologies and products to China, or voiced the intention to do so. For instance, since 2022, the United States has imposed increasingly strict export control measures relating to exports of semiconductors to China. In October 2023, the Department of Commerce Bureau of Industry and Security promulgated two new rules that expanded export controls to cover a broader array of advanced semiconductors and semiconductor manufacturing equipment. The rules also introduced end-use controls for any company headquartered in China or whose ultimate parent is headquartered in China, and established new licensing requirements for additional countries. Similarly, in January 2025, the Department of Commerce Bureau of Industry and Security released an interim final rule that established licensing requirements for the export of advanced computing integrated circuits that facilitate advanced AI research and development, as well as certain AI model technology. The rule prohibits the export of such items to any company headquartered in China or whose ultimate parent is located in China. These measures also restrict the ability of U.S. persons to provide “support” for semiconductor manufacturing and related activities in China and may seriously affect the ability of Chinese companies to purchase or obtain certain semiconductor manufacturing equipment or advanced chips.</w:t>
      </w:r>
    </w:p>
    <w:p>
      <w:pPr>
        <w:spacing w:after="0" w:line="16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United States has also taken efforts to limit U.S. investment in China. On October 28, 2024, the U.S. Department of the Treasury issued a final rule to prohibit U.S. investment in Chinese companies active in developing certain national security technologies, or the Outbound Investment Rule. The Outbound Investment Rule targets investments involving persons and entities associated with “countries of concern,” a designation currently limited to China. In effect since January 2025, the Outbound Investment Rule imposes investment prohibitions and notification requirements on a range of investments in companies engaged in activities relating to three sectors: (i) semiconductors and microelectronics, (ii) quantum technologies, and (iii) artificial intelligence systems. Persons from countries of concern engaged in these activities are defined as “covered foreign persons.” Investments by U.S. persons subject to the Outbound Investment Rule include the acquisition of equity or a contingent equity interest, the provision of certain debt financing, the conversion of contingent equity interest into equity interest, involvement in a greenfield or brownfield investment, entrance into a joint venture, and the acquisition of a limited partner interest in non-U.S. pooled investment fund. On December 18, 2025, President Trump signed into law the Comprehensive Outbound Investment National Security (COINS) Act of 2025 The COINS Act largely adopts the existing prohibitions and notification requirements while expanding the targeted countries and industry sectors. Separately, the United States has also restricted U.S. persons from investing in publicly traded securities of Chinese Military-Industrial Complex companies identified by the Treasury Department. If we are deemed to be a covered foreign person, and therefore subject to the Outbound Investment Rule, our ability to raise capital or contingent equity capital from U.S. investors would be limited and could negatively affect our stock price. As a result, our financial condition, business, results of operations and prospects could also be adversely affected.</w:t>
      </w:r>
    </w:p>
    <w:p>
      <w:pPr>
        <w:spacing w:after="0" w:line="1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These and other restrictions are aimed at exerting greater U.S. government oversight of U.S. direct and indirect investments involving China, and they may introduce new hurdles and uncertainties for cross-border collaborations, investments, and funding opportunities of China-based companies. Against this backdrop, China has implemented, and may further implement, measures in response to the changing trade policies, treaties, tariffs and sanctions and restrictions against Chinese companies initiated by the U.S. government. It remains unclear what additional actions, if any, will be taken by the U.S., the Chinese or other governments with respect to international trade agreements, the imposition of tariffs, export tax policy related to international commerce, or other trade matters.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Rising trade and political tensions could reduce levels of trades, investments, technological exchanges and other economic activities between China and other countries, which would have an adverse effect on global economic conditions, the stability of global financial markets, and international trade policies. These developments may also lead to increased compliance costs, operational disruptions, and potential constraints on our access to capital markets. The possibility of the U.S. government delisting China-associated companies from U.S. stock exchanges, as recently reported in the media, creates uncertainty regarding our ability to maintain our Nasdaq listing. Any of the foregoing could also adversely affect the financial and economic conditions in the jurisdictions in which we operate or we plan to establish a business presence, and any unfavorable government policies on international trade, such as capital controls or tariffs, may affect the demand for our products and services or our planned expansion, impact the competitive position of our products or prevent us from selling products in certain countries. If any new tariffs, legislation and/or regulations are implemented, or if existing trade agreements are renegotiated or, in particular, if the U.S. government takes retaliatory trade actions due to the recent U.S.-China trade tension, such changes could have an adverse effect on our business, financial condition and results of operations.</w:t>
      </w:r>
    </w:p>
    <w:p>
      <w:pPr>
        <w:spacing w:after="0" w:line="15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international political tensions have escalated and continue to be subject to uncertainties with respect to a wide range of issues. Should we or any of our major business partners become subject to sanctions or restrictions by the U.S. government, our business may be adversely affected.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overseas regulators to conduct investigation or collect evidence within mainland China.</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Shareholder claims or regulatory investigation that are common in the United States generally are difficult to pursue as a matter of law or practicality in mainland China. For example, in mainland China, there are significant legal and other obstacles to providing information needed for regulatory investigations or litigation initiated outside China. Although the authorities in mainland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Furthermore, according to Article 177 of the PRC Securities Law, which became effective in March 2020, no overseas securities regulator is allowed to directly conduct investigation or evidence collection activities within the territory of the mainland China. While detailed interpretation of or implementation rules under Article 177 of the PRC Securities Law have yet to be promulgated, the inability for an overseas securities regulator to directly conduct investigation or evidence collection activities within mainland China may further increase difficulties faced by you in protecting your interests.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ADSs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ADSs is likely to be volatile, which could result in substantial losses to investors.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trading price of the ADSs is likely to be volatile and could fluctuate widely due to factors beyond our control. This may happen because of broad market and industry factors, including the performance and fluctuation of the market prices of other companies with business operations located mainly in mainland China that have listed their securities in the United States. In addition to market and industry factors, the price and trading volume for the ADSs may be highly volatile for factors specific to our own operations, including but not limited to, the following:</w:t>
      </w:r>
    </w:p>
    <w:p>
      <w:pPr>
        <w:spacing w:after="0" w:line="183" w:lineRule="exact"/>
        <w:rPr>
          <w:sz w:val="20"/>
          <w:szCs w:val="20"/>
          <w:color w:val="auto"/>
        </w:rPr>
      </w:pPr>
    </w:p>
    <w:p>
      <w:pPr>
        <w:ind w:left="1000" w:hanging="317"/>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net revenues, earnings and cash flow;</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acquisitions, strategic partnerships, or joint ventures by us or our competitors;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and services and expansions by us or our competitors;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operating metrics;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on our part to realize monetization opportunities as expected;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revenues generated from our significant business partners;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lock-up or other transfer restrictions on our outstanding equity securities or sales of additional equity securities;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negative publicity about us, our management, our competitors or our industry;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repurchase program;</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between RMB and the U.S. dollar;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us or our industry;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 in China or elsewhere in the world.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these factors may result in large and sudden changes in the trading volume and price of the ADSs.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the stock market in general, and the market prices for internet-related companies and companies with operations in mainland China in particular, have experienced volatility that often has been unrelated to the operating performance of such companies. The securities of some China-based companies that have listed their securities in the United States have experienced significant volatility since their initial public offerings in recent years, including, in some cases, substantial declines in the trading prices of their securities. The trading performances of these companies’ securities after their offerings may affect the attitudes of investors towards Chinese companies listed in the United States in general, which consequently may impact the trading performance of our ADSs,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engaged in any inappropriate activities. In particular, the global financial crisis, the ensuing economic recessions and deterioration in the credit market in many countries have contributed and may continue to contribute to extreme volatility in the global stock markets. These broad market and industry fluctuations may adversely affect the market price of our ADSs. Volatility or a lack of positive performance in our ADS price may also adversely affect our ability to retain key employees, most of whom have been granted options or other equity incentives.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any share repurchase program will be fully consummated or that any share repurchase program will enhance long-term shareholder value, and share repurchases could increase the volatility of the trading price of the ADSs and could diminish our cash reserves.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September 15, 2022, our board of directors authorized a share repurchase program, or the 2022 Repurchase Plan, under which we may repurchase up to US$5 million worth our common shares or ADSs representing common shares during the 12 months that followed. In addition, our board of directors extended the 2022 Repurchase Plan until December 31, 2024 and also authorized a share repurchase program, or the 2023 Repurchase Plan, under which we may repurchase up to US$5 million worth our common shares or American depositary shares representing common shares until December 31, 2024. On December 30, 2024, our board of directors approved a share repurchase program, or the 2024 Repurchase Plan, under which we may repurchase up to US$5 million worth our common shares or ADSs representing common shares) during the 12-month period starting from January 1, 2025.</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2025, we had cumulatively repurchased approximately US$2.3 million of ADSs under the 2022 Repurchase Plan, the 2023 Repurchase Plan and the 2024 Repurchase Plan in aggregate. Although our board of directors has authorized this program, we are not obligated to purchase any specific dollar amount or to acquire any specific number of shares. The timing and amount of repurchases, if any, will depend upon several factors, including market, business conditions, the trading price of the ADSs or our common shares and the nature of other investment opportunities. Our share repurchase program could affect the price of the ADSs and increase volatility and may be suspended or terminated at any time, which may result in a decrease in the trading price of the ADSs. For example, the existence of a share repurchase program could cause the price of the ADSs to be higher than it would be in the absence of such a program and could potentially reduce the market liquidity for the ADSs. Additionally, our share repurchase program could diminish our cash reserves, which may impact our ability to finance future growth and to pursue possible future strategic opportunities. There can be no assurance that any share repurchases will enhance shareholder value because the market price of the ADSs or our common shares may decline below the levels at which we determine to repurchase the ADSs or our common shares. Although our share repurchase program is intended to enhance long-term shareholder value, there is no assurance that it will do so and short-term share price fluctuations could reduce the program’s effectiveness.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dual-class voting structure will limit your ability to influence corporate matters and could discourage others from pursuing any change of control transactions that holders of our Class A common shares and the ADSs may view as beneficial.</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 dual-class common share structure. Our common shares are divided into Class A common shares and Class B common shares. Holders of Class A common shares are, on a poll, entitled to one vote per share, while holders of Class B common shares are entitled to ten votes per share. Each Class B common share is convertible into one Class A common share at any time by the holder thereof, while Class A common shares are not convertible into Class B common shares under any circumstances. Upon any direct or indirect sale, transfer, assignment or disposition of Class B common shares or the voting power attached to such Class B common shares through a voting proxy or otherwise by a holder thereof to any person or entity that is not an affiliate of such holder, or the direct or indirect sale, transfer, assignment or disposition of a majority of the issued and outstanding voting securities of, or voting power attached to such voting securities through voting proxy or otherwise, or the direct or indirect sale, transfer, assignment or disposition of all or substantially all of the assets of a holder of Class B common shares that is an entity to any person that is not an affiliate of such holder, such Class B common shares shall be automatically and immediately converted into an equal number of Class A common shares.</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Mr. Weidong Luo, our founder, the chairman of our board of directors and our chief executive officer, beneficially owned an aggregate of 7,171,333 Class A common shares (including 71,333 Class A common shares represented by 5,350 ADSs) and 17,000,189 Class B common shares, which represent 76.2% of our total voting power, as of February 28, 2026. Therefore, Mr. Weidong Luo has decisive influence over matters requiring shareholders’ approval, including election of directors and significant corporate transactions, such as a merger or sale of our company or our assets. This concentrated control will limit your ability to influence corporate matters and could discourage others from pursuing any potential merger, takeover or other change of control transactions that holders of our Class A common shares and the ADSs may view as beneficial.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to publish research or reports about our business, or if they adversely change their recommendations regarding the ADSs, the market price for the ADSs and trading volume could decline.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or availability for sale, or perceived sale or availability for sale, of substantial amounts of the ADSs could adversely affect their market price.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Sales of substantial amounts of the ADSs in the public market, or the perception that these sales could occur, could adversely affect the market price of the ADSs. As of February 28, 2026, we had 79,498,195 common shares outstanding, comprising of (i) 62,498,006 Class A common shares (excluding treasury shares), and (ii) 17,000,189 Class B common shares. Among these shares, 41,308,597 Class A common shares are in the form of ADSs, which are freely transferable without restriction or additional registration under the Securities Act. The remaining Class A common shares issued and outstanding and the Class B common shares will be available for sale, subject to volume and other restrictions as applicable under Rules 144 and 701 under the Securities Act. Certain holders of our common shares have caused us to register under the Securities Act the sale of their shares while other holders may also demand registration in the future. Registration of these shares under the Securities Act would result in ADSs representing these shares becoming freely tradable without restriction under the Securities Act immediately upon the effectiveness of the registration. Sales of these registered shares in the form of ADSs in the public market could adversely affect the market price of the ADSs.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memorandum and articles of association contain anti-takeover provisions that could have a material adverse effect on the rights of holders of our Class A common shares and the ADSs.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current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Class A common shares, including common shares represented by ADSs.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Class A common shares and the ADSs may be materially and adversely affected.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ADSs are limited by the terms of the deposit agreement, and you may not be able to exercise your right to vote the underlying Class A common shares represented by your ADSs.</w:t>
      </w:r>
    </w:p>
    <w:p>
      <w:pPr>
        <w:spacing w:after="0" w:line="15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Holders of ADSs do not have the same rights as our registered shareholders. As a holder of ADSs, you will not have any direct right to attend general meetings of our shareholders or to cast any votes at such meetings. You will only be able to exercise the voting rights which are carried by the underlying Class A common shares represented by your ADSs indirectly by giving voting instructions to the depositary in accordance with the provisions of the deposit agreement. If we instruct the depositary to solicit voting instructions, then upon receipt of your voting instructions, the depositary will try, as far as is practicable, to vote the underlying Class A common shares represented by your ADSs in accordance with your instructions. If we do not instruct the depositary to ask for your instructions, the depositary may still vote in accordance with instructions you give, but it is not required to do so. You will not be able to directly exercise your right to vote with respect to the underlying Class A common shares unless you withdraw the shares, and become the registered holder of such shares prior to the record date for the general meeting. When a general meeting is convened, you may not receive sufficient advance notice of the meeting to withdraw the Class A common shares represented by your ADSs and become the registered holder of such shares to allow you to attend the general meeting and to vote directly with respect to any specific matter or resolution to be considered and voted upon at the general meeting. In addition, under our current memorandum and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underlying Class A common shares represented by your ADSs and becoming the registered holder of such shares prior to the record date, so that you would not be able to attend the general meeting or to vote directly. If we ask for your instructions, the depositary will notify you of the upcoming vote and will arrange to deliver our voting materials to you. If we will instruct the depositary to solicit voting instructions, we will give the depositary at least 30 days’ prior notice of shareholder meetings. Nevertheless, we cannot assure you that you will receive the voting materials in time to ensure that you can instruct the depositary to vote the underlying Class A common shares represented by your ADSs. In addition, the depositary and its agents are not responsible for failing to carry out voting instructions or for their manner of carrying out your voting instructions. This means that you may not be able to exercise your right to direct how the underlying Class A common shares represented by your ADSs are voted and you may have no legal remedy if the underlying Class A common shares represented by your ADSs are not voted as you requested. In addition, in your capacity as an ADS holder, you will not be able to call a shareholders’ meeting.</w:t>
      </w:r>
    </w:p>
    <w:p>
      <w:pPr>
        <w:spacing w:after="0" w:line="2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Amendments may reflect, among other things, operational changes in the ADS program, legal developments affecting ADSs or changes in the terms of our business relationship with the depositary. In the event that the terms of an amendment are disadvantageous to ADS holders, ADS holders will only receive 30 days’ advance notice of the amendment, and no prior consent of the ADS holders is required under the deposit agreement. Furthermore, we may decide to terminate the ADS facility at any time for any reason. For example, terminations may occur when we decide to list our shares on a non-U.S. securities exchange and determine not to continue to sponsor an ADS facility or when we become the subject of a takeover or a going-private transaction. If the ADS facility will terminate, ADS holders will receive at least 90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common shares, but will have no right to any compensation whatsoever.</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 agreement governing the ADSs representing our Class A common shares provides that,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 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Nevertheless, if this jury trial waiver provision is not permitted by applicable law, an action could proceed under the terms of the deposit agreement with a jury trial. 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you must rely on price appreciation of the ADSs for return on your investment.</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the ADSs as a source for any future dividend income.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board of directors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subsidiary, our financial condition, contractual restrictions and other factors deemed relevant by our board of directors. Accordingly, the return on your investment in the ADSs will likely depend entirely upon any future price appreciation of the ADSs. There is no guarantee that the ADSs will appreciate in value or even maintain the price at which you purchased the ADSs. You may not realize a return on your investment in the ADSs and you may even lose your entire investment in the ADSs.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not receive dividends or other distributions on our Class A common shares and you may not receive any value for them, if it is illegal or impractical to make them available to you.</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depositary has agreed to pay to you the cash dividends or other distributions it or the custodian receives on Class A common shares or other deposited securities underlying the ADSs, after deducting its fees and expenses. You will receive these distributions in proportion to the number of Class A common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of 1933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Class A common shares, rights or other securities received through such distributions. We also have no obligation to take any other action to permit the distribution of ADSs, Class A common shares, rights or anything else to holders of ADSs. This means that you may not receive distributions we make on our Class A common shares or any value for them if it is illegal or impractical for us to make them available to you. These restrictions may cause a material decline in the value of the ADSs.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 of your holdings due to the inability to participate in rights offerings.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Our corporate affairs are governed by our memorandum and articles of association, the Companies Act (As Revised) of the Cayman Islands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with respect to Cayman Islands companies, plaintiffs may face special obstacles, including but not limited to those relating to jurisdiction and standing, in attempting to assert derivative claims in state or federal courts of the United States.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(save for our memorandum and articles of association, our register of mortgages and charges and special resolutions of our shareholders) or to obtain copies of lists of shareholders of these companies. Under Cayman Islands law, the names of our current directors can be obtained from a search conducted at the Registrar of Companies in the Cayman Islands. Our directors have discretion under our current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management, members of our board of directors or controlling shareholders than they would as public shareholders of a company incorporated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our shareholders may not be enforceable.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 Cayman Islands exempted company and substantially all of our assets are located outside of the United States. Our current operations are primarily conducted in mainland China. In addition, our current directors and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an exempted company incorporated in the Cayman Islands, we are permitted to adopt certain home country practices in relation to corporate governance matters that differ significantly from the Nasdaq listing standards; these practices may afford less protection to shareholders than they would enjoy if we complied fully with the Nasdaq listing standards.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Cayman Islands exempted company listed on the Nasdaq Capital Market, we are subject to the Nasdaq listing standards. However, Nasdaq rules permit a foreign private issuer like us to follow the corporate governance practices of its home country. Certain corporate governance practices in the Cayman Islands, which is our home country, may differ significantly from the Nasdaq listing standards. As we rely on the home country practice exemption as described above, our shareholders may be afforded less protection than they would otherwise enjoy under the Nasdaq listing standards applicable to U.S. domestic issuers.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Stock Market Rules and, as a result, may rely on exemptions from certain corporate governance requirements that provide protection to shareholders of other companies.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“controlled company” as defined under the Nasdaq Stock Market Rules because Mr. Weidong Luo, our founder, the chairman of our board of directors and our chief executive officer, owns more than 50% of our total voting power. For so long as we remain a controlled company under that definition, we are permitted to elect to rely, and may rely, on certain exemptions from corporate governance rules. As a result, you will not have the same protection afforded to shareholders of companies that are subject to these corporate governance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 passive foreign investment company (“PFIC”) for U.S. federal income tax purposes, which could result in adverse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income tax consequences to U.S. Holders of our ADSs or Class A common shares.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Depending upon the value of our assets, which is determined based, in part, on the market value of our ADSs, and the nature of our assets and income over time, we could be classified as a passive foreign investment company, or PFIC, for U.S. federal income tax purposes. A non-U.S. corporation, such as our company, will be classified as a PFIC for U.S. federal income tax purposes for any taxable year if either (i) 75% or more of its gross income for such year consists of certain types of “passive” income (the “income test”) or (ii) 50% or more of the value of its assets (generally determined on the basis of a quarterly average) during such year produce or are held for the production of passive income (the “asset test”). Although the law in this regard is not entirely clear, we treat the VIE as being owned by us for U.S. federal income tax purposes because we control its management decisions and are entitled to substantially all of the economic benefits associated with it, and, as a result, we consolidate its results of operations in our consolidated U.S. GAAP financial statements. Assuming that we are the owner of the VIE for U.S. federal income tax purposes, and based upon our income and assets and the market value of our ADSs, we do not expect to be a PFIC for the taxable year ended December 31, 2025.</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believe that it is likely that we were not classified as a PFIC for the taxable year that ended December 31, 2025, we have been classified as a PFIC in prior years and may again be classified as a PFIC in the future. Our PFIC status for the current taxable year ending December 31, 2026, will not be determinable until after the close of the taxable year. There can be no assurance that we will not be a PFIC for the current or any future taxable year.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are a PFIC for any taxable year during which U.S. Holders (as defined in “Item 10. Additional Information—E. Taxation —U.S. Federal Income Tax Considerations”) hold our ADSs or Class A common shares, such U.S. Holders could be subject to adverse U.S. federal income tax consequences, including having gains realized on the sale of our ADSs or Class A common shares treated as ordinary income, rather than capital gains, in the case of U.S. Holders who are individuals, losing the preferential rate generally applicable to dividends received with respect to dividends on our ADSs or Class A common shares, and having an additional tax in the nature of an interest charge apply to distributions by us and the proceeds of sales of our ADSs or Class A common shares. Additionally, if we are a PFIC for any taxable year during which U.S. Holders hold our ADSs or Class A common, we would generally continue to be treated as a PFIC with respect to such U.S. Holders even if we do not satisfy either the income test or the asset test described above in a subsequent year. See “Item 10. Additional Information—E. Taxation—U.S. Federal Income Tax Considerations.”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deemed an “investment company” under the Investment Company Act of 1940, it could adversely affect the price of the ADSs and could materially and adversely affect our business, results of operations, and financial condition.</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intend to become registered as an “investment company” under Section 3(a) of the Investment Company Act of 1940, or the Investment Company Act. We are primarily engaged in businesses of providing customer engagement and marketing technology services.</w:t>
      </w:r>
    </w:p>
    <w:p>
      <w:pPr>
        <w:spacing w:after="0" w:line="176"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7"/>
          <w:szCs w:val="17"/>
          <w:color w:val="auto"/>
        </w:rPr>
        <w:t>Under Section 3(a)(1)(C) of the Investment Company Act, a company is deemed to be an “investment company” if it is engaged, or proposes to engage, in the business of investing, reinvesting, owning, holding, or trading in securities and owns or proposes to acquire investment securities having a value exceeding 40% of the value of its total assets (exclusive of government securities and cash items) on an unconsolidated basis. As a result, if we and/or certain of our subsidiaries are deemed to be an investment company within the meaning of the Investment Company Act, we would have to dispose of investment securities in order to fall outside the definition of an investment company. Additionally, we may have to forego potential future acquisitions of interests in companies that may be deemed to be investment securities within the meaning of the Investment Company Act. Failure to avoid being deemed an investment company under the Investment Company Act, coupled with our inability as a foreign private issuer to register under the Investment Company Act, could make us unable to comply with our reporting obligations as a public company in the United States and lead to our being delisted from the Nasdaq, which would materially and adversely affect the liquidity and value of the ADSs. We would also be unable to raise capital through the sale of securities in the United States or to conduct business in the United States. In addition, we may be subject to SEC enforcement action or purported class action lawsuits for alleged violations of U.S. securities laws. Defending ourselves against any such enforcement action or lawsuits would require significant attention from our management and divert resources from our existing businesses and could materially and adversely affect our business, results of operations, and financial condition.</w:t>
      </w:r>
    </w:p>
    <w:p>
      <w:pPr>
        <w:spacing w:after="0" w:line="20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INFORMATION ON THE COMPANY</w:t>
      </w:r>
    </w:p>
    <w:p>
      <w:pPr>
        <w:spacing w:after="0" w:line="225"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History and Development of the Company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Shenzhen Hexun Hungu Information Technology Co., Ltd., or Hexun Huagu, was incorporated in May 2012. The current shareholders of Hexun Huagu are Mr. Weidong Luo and Mr. Guangyan Chen, holding 80% and 20% equity interests in Hexun Huagu, respectively.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May 2012, UA Mobile Limited was incorporated in the British Virgin Islands by KK Mobile Limited, a company wholly owned by Mr. Weidong Luo. UA Mobile Limited set up a wholly-owned subsidiary KK Mobile Investment Limited in Hong Kong in June 2012. In April 2014, we incorporated Aurora Mobile Limited in the Cayman Islands as our offshore holding company to facilitate financing and offshore listing. Subsequently, Mr. Weidong Luo transferred his entire ownership of UA Mobile Limited to Aurora Mobile Limited. In June 2014, KK Mobile Investment Limited established a wholly-owned subsidiary in mainland China, JPush Information Consultation (Shenzhen) Co., Ltd., or Shenzhen JPush.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5, 2014, we obtained the ability to direct the business operations of Hexun Huagu through Shenzhen JPush by entering into a series of contractual arrangements with Hexun Huagu and its shareholders. We refer to Shenzhen JPush as our WFOE, and to Hexun Huagu, including its subsidiaries, as the VIE in this annual report. Our contractual arrangements with the VIE and its shareholders allow us to (i) direct the activities of the VIE that most significantly impact its economic performance, (ii) receive the economic benefits of and absorb losses that potentially could be significant to the VIE and (iii) have an exclusive call option to purchase all or part of the equity interests in and assets of the VIE when and to the extent permitted by the laws of mainland China. As a result of these contractual arrangements, we are the primary beneficiary of Hexun Huagu and its subsidiaries, and, therefore, have consolidated the financial results of the Hexun Huagu and its subsidiaries in our consolidated financial statements in accordance with U.S. GAAP. However, those contractual arrangements may not be as effective as direct ownership in directing the business operations of the VIE.</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26, 2018, the ADSs representing our Class A common shares commenced trading on Nasdaq under the symbol “JG.” We raised from our initial public offering approximately US$68.0 million in net proceeds after deducting underwriting commissions and discounts and the offering expenses payable by us.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March 2022, we, through the VIE, acquired a majority equity interest of Wuhan SendCloud for a total cash consideration of RMB34.5 million. Wuhan SendCloud has been committed to providing tens of thousands of enterprise customers with efficient and secure email and SMS sending services, as well as accurate and timely relevant data reports. Ifaxin (Hubei) Cloud Co., Ltd., or Ifaxin, is a wholly-owned subsidiary of Wuhan SendCloud.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June 2022, we set up a wholly-owned subsidiary, Meta Reality Limited, in the British Virgin Islands, and its wholly-owned subsidiary Metaverse Cloud Pte Ltd in Singapore. Metaverse Cloud Pte Ltd is primarily focused on the operation and expansion of our overseas business.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2022, certain then shareholders of the VIE, Mr. Xiaodao Wang and Mr. Jiawen Fang, transferred their entire equity interests in the VIE to Mr. Guangyan Chen. We entered into a termination agreement of contractual agreements with the VIE and the then nominee shareholders of the VIE to terminate the previous contractual arrangements, and concurrently signed a series of new contractual arrangements with the VIE and its current nominee shareholders.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December 11, 2023, we effected an ADS ratio change to adjust our common share to ADS ratio from 3 ADSs representing 2 Class A common shares to 3 ADSs representing 40 Class A common shares.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31/F, Block 12-A, Shenzhen Bay Science and Technology Ecological Park, Nanshan District, Shenzhen, Guangdong 518057, People’s Republic of China. Our telephone number at this address is +86 755-8388-1462. Our registered office in the Cayman Islands is located at the offices of Maples Corporate Services Limited at PO Box 309, Ugland House, Grand Cayman, KY1-1104, Cayman Islands.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 maintains an internet site that contains reports, proxy and information statements, and other information regarding issuers that file electronically with the SEC on www.sec.gov. You can also find information on our website https://ir.jiguang.cn. The information contained on our website is not a part of this annual report.</w:t>
      </w:r>
    </w:p>
    <w:p>
      <w:pPr>
        <w:spacing w:after="0" w:line="172" w:lineRule="exact"/>
        <w:rPr>
          <w:sz w:val="20"/>
          <w:szCs w:val="20"/>
          <w:color w:val="auto"/>
        </w:rPr>
      </w:pPr>
    </w:p>
    <w:p>
      <w:pPr>
        <w:ind w:right="8140" w:firstLine="8"/>
        <w:spacing w:after="0" w:line="503" w:lineRule="auto"/>
        <w:tabs>
          <w:tab w:leader="none" w:pos="32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Business Overview </w:t>
      </w:r>
      <w:r>
        <w:rPr>
          <w:rFonts w:ascii="Times New Roman" w:cs="Times New Roman" w:eastAsia="Times New Roman" w:hAnsi="Times New Roman"/>
          <w:sz w:val="18"/>
          <w:szCs w:val="18"/>
          <w:b w:val="1"/>
          <w:bCs w:val="1"/>
          <w:color w:val="auto"/>
        </w:rPr>
        <w:t>Our Mission</w:t>
      </w: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mission is to improve productivity for businesses and society through harnessing the power of mobile big data to derive actionable insights and knowledge.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a leading provider of customer engagement and marketing technology services in mainland China. Through our developer services, we gain access to, aggregate, cleanse, structure and encrypt vast amounts of real-time and anonymous device-level mobile behavioral data. We utilize artificial intelligence, or AI, and machine learning to derive actionable insights and knowledge from this data, enabling our customers to make better business decisions. We are proud to have received the “SOC 2 Type II certification”, the “Golden Lingguang Cup” from the Internet Society of China, the “Artificial Intelligence Elite Enterprise Innovation Award”, the “HarmonyOS SDK Security Evaluation Certificate” from CAICT, the “2025 Data Security Xingyi Excellent Case”, the “Top 20 China AI Large Model Industry Innovation Service Providers” at WIM2025”, the “AI Tianma Zhenpin” award granted by the Shenzhen Artificial Intelligence Industry Association (GPTBots), the “High-Quality Digital Transformation Technology Solutions Collection (2025)” awarded by CAICT, “High-Quality Digital Transformation Products and Services Panorama (2025)” awarded by CAICT, the “Golden Sailing Award” from GICC 2024, “Equal Ocean 2024 GoGlobal Software Services Top 10,” “The Most Investment-worthy Artificial Intelligence Award” by the Shenzhen Artificial Intelligence Industry Association (GPTBots), the “Top 50 Service Institutions for Chinese Enterprises’ Overseas Expansion” awarded by China Overseas Development Association, the “2024 Technological Innovation Leadership Award” awarded by the 13th CFC Financial Summit and 2024 Amazing Innovation and Entrepreneurs Festival, and the “Outstanding Enterprise Award for Digital Services” awarded by the 8th FMCG Retail Consumer Goods Digital Summit.</w:t>
      </w:r>
    </w:p>
    <w:p>
      <w:pPr>
        <w:spacing w:after="0" w:line="15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provide a comprehensive suite of services to mobile app developers in mainland China. Our developer services easily integrate with all types of mobile apps and provide core in-app functionalities needed by developers, including push notification, instant messaging, analytics, sharing and short message service, or SMS, one-click verification, and other services under JG Alliance. Our services had been used by approximately 786,900 mobile app developers in a great variety of industries, such as media, entertainment, gaming, financial services, tourism, ecommerce, and education, as of December 31, 2025. We are the partner of choice for many major internet companies, as well as many leading brands in various industries. The number of mobile apps utilizing at least one of our developer services, or the cumulative app installations, increased from over 1,919,000 as of December 31, 2023 to over 1,960,000 as of December 31, 2024, and further to over 1,990,000 as of December 31, 2025.</w:t>
      </w:r>
    </w:p>
    <w:p>
      <w:pPr>
        <w:spacing w:after="0" w:line="1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Since our inception through December 31, 2025, we have accumulated data from over 83.8 billion installations of our software development kits, or SDKs, as part of our developer services. We only gain access to selected anonymous device-level data that is necessary for, and relevant to, the services provided. Once the original mobile behavioral data is collected, our data processing platform then stores, cleanses, structures and encrypts data for Al-powered modeling exercises in an aggregated and anonymized fashion. Our developer services can be integrated into multiple apps on the same device, which allows us to receive device-based data from different and multiple dimensions, both online and offline. We believe that our data is differentiated in its volume, variety, velocity and veracity.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AI and machine learning are the key technologies we utilize to gain actionable and marketing effective insights from our data and to develop and refine our vertical applications. Leveraging these technologies built upon our massive and quality data foundation, we have developed a variety of solutions that offer industry-specific, actionable insights for customers in a number of different areas with a primary focus on market intelligence and financial risk management. Our solutions include:</w:t>
      </w:r>
    </w:p>
    <w:p>
      <w:pPr>
        <w:spacing w:after="0" w:line="180" w:lineRule="exact"/>
        <w:rPr>
          <w:sz w:val="20"/>
          <w:szCs w:val="20"/>
          <w:color w:val="auto"/>
        </w:rPr>
      </w:pPr>
    </w:p>
    <w:p>
      <w:pPr>
        <w:ind w:left="1000" w:right="20" w:hanging="317"/>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intelligence: We provide investment funds and corporations with real-time market intelligence solutions, such as our product iApp, which provides analysis and statistical results on the usage and trends of mobile apps in China.</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 management: We assist financial institutions, licensed lenders and credit card companies in making informed lending and credit decisions.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refer to the developer services and vertical applications collectively as the “SAAS Businesses.”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operate and generate revenue from SAAS Businesses. We have built a robust technology infrastructure to support the usage of SAAS Businesses on a real-time basis. Our cloud servers are strategically located around the country to provide high-quality and cost-effective services across all telecom providers. This extensive and carefully designed server network allows us to provide customers with real-time access and usage of our Software-as-a-service, or SAAS, products with great stability, immense speed and high reliability.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14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 leading provider of customer engagement and marketing technology services in China. Our business model is built upon our massive and quality data foundation, which we have established by leveraging the comprehensive suite of developer services we provide to mobile app developers in China. Our developer services provide core in-app functionalities, including push notification, instant messaging, analytics and SMS, one-click verification and other services under JG Alliance. Through our developer services, we gain access to selected and anonymous device-level data that is necessary for, and relevant to, the services provided. Our centralized data processing platform stores, cleanses, structures and encrypts data that was collected and aggregated. We utilize AI and machine learning technologies to conduct modeling exercises and in order to gain actionable and effective insights. Based on our data foundation and leveraging our AI-powered centralized processing platform, we have developed a variety of vertical applications that offer industry-specific, actionable insights for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88265</wp:posOffset>
            </wp:positionV>
            <wp:extent cx="5332095" cy="1808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3209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Developer Services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provide a comprehensive suite of services to mobile app developers in China. Starting from 2020, we further breakdown the Developer Service revenue into Subscription Service and Value-Added Service. Our subscription service under developer services provides core in-app functionalities needed by developers, including push notification, instant messaging, analytics, sharing and SMS, one-click verification and other services under JG Alliance. Our value-added service include both JG Alliance and Advertisement SAAS. The functionalities of our developer services are delivered in the form of SDKs that contain ready-to-use source codes and allow for simple integration into a wide variety of mobile apps. We also offer application programming interfaces, or APIs, that create connectivity and automate the process of message exchange between the mobile apps and our backend network. Moreover, we also provide app developers using our services with an interactive web-based service dashboard, allowing them to utilize and monitor our services through simple controls on an ongoing basis. Our developer services easily integrate with all types of mobile apps and support all major mobile operating systems, including iOS and Android. Through these functionalities, developers are able to accelerate the development and deployment of their apps into the market and focus their efforts on optimizing their app operations and improving end-user experience.</w:t>
      </w:r>
    </w:p>
    <w:p>
      <w:pPr>
        <w:spacing w:after="0" w:line="11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developer services had been used by a cumulative number of approximately 786,900 developers in mobile apps in a wide variety of industries, such as media, entertainment, gaming, financial services, tourism, ecommerce, and education, as of December 31, 2025. The number of mobile apps utilizing at least one of our developer services, or the cumulative app installations, increased from over 1,919,000 as of December 31, 2023 to over 1,960,000 as of December 31, 2024 and further to over 1,990,000 as of December 31, 2025. Almost all of the app developers who use our developer services use our push notification services, and a portion of those developers also use other developer services in addition to push notification. We believe as we expand and deepen our relationship with developers, more developers will utilize multiple services we offer. We are proud to have received numerous awards, including the “SOC 2 Type II certification”, the “Golden Lingguang Cup” from the Internet Society of China, the “Artificial Intelligence Elite Enterprise Innovation Award”, the “HarmonyOS SDK Security Evaluation Certificate” from CAICT, the “2025 Data Security Xingyi Excellent Case”, the “Top 20 China AI Large Model Industry Innovation Service Providers” at WIM2025”, the “AI Tianma Zhenpin” award granted by the Shenzhen Artificial Intelligence Industry Association (GPTBots), the “Golden Sailing Award” from GICC 2024, “Equal Ocean 2024 GoGlobal Software Services Top 10,” “The Most Investment-worthy Artificial Intelligence Award” by the Shenzhen Artificial Intelligence Industry Association (GPTBots), the “Top 50 Service Institutions for Chinese Enterprises’ Overseas Expansion” awarded by China Overseas Development Association, and the “Outstanding SDK Product Case” awarded by China Academy of Information and Communications Technology.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developer services (subscription services) are standardized to maximize efficiency and cohesiveness of operations. Our developer services are built upon our proprietary common module JCore, allowing developers to easily integrate additional and multiple functionalities provided by our developer services, as well as enabling us to react to market change and customer demand by developing and adding additional functionalities quickly and cost-effectively.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JCore—Foundation of Our Developer Services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developer services are built as modules on top of JCore. JCore powers and seamlessly integrates with our other service functionality modules and provides uniform code-level support to other modules. The modularity brought by JCore allows developers to conveniently integrate additional modules, enabling mobile app developers to scale their business, reducing app development costs and improving efficiency.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JCore provides key functions that are shared across all of our developer services modules, including dynamic loading, which uploads and downloads code-level communications to and from servers, logging and uploading error messages, protecting core source code from leakage and tampering, and securing data sharing.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integrate the basic and commonly used code-level functionalities, such as transmission protocols and dynamic loading, into JCore, and build our developer services based on JCore. This enables us to focus on addressing the specific needs of app developers, develop new services and add new functionalities to existing services quickly and cost-effectively and reduce potential errors.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Subscription Service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JPush—Push Notification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push notification service, JPush, effectively enables developers to deliver notifications across different formats and different types of internet access devices. Push notifications are a critical tool in mobile strategy as they go directly to the top of the notification stack for mobile users and the resulting higher open rates of push notifications drive increased engagement, retention and monetization. The challenge for app developers in effectively communicating with end users is establishing and maintaining a message distribution network from scratch that can meet the real-time communication demand generated by a growing mobile app user base and, at the same time, save costs. As the telecom networks in mainland China are fragmented and inefficient in connecting with each other, the message distribution network required by the developers must be able to deliver messages across and between all of the China telecom networks effectively and efficiently. Establishing and maintaining such a message distribution network can be costly, time-consuming and technically challenging. JPush, leveraging our technology infrastructure and our strong technological capabilities, provides effective solutions to those challenges. See “—Technology Infrastructure.”</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Through JPush, developers can push customizable messages and rich media messages. Rich media includes advanced messaging functionality such as emoji, picture messaging and localized languages. Developers can also push notifications to a target group of end users classified by tagging those users automatically or manually.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also share statistics regarding delivery results with developers that use JPush, including their history of notifications pushed. Other performance statistics include cumulative number of notifications transmitted, number of users who open the app, the time users spent in the app, daily active users and the number of users who are using the app in real time. As part of the VIP premium package, certain developers choose to pay for additional capabilities, including the ability to monitor the results of transmissions in real time and access in-depth customized statistical reports.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Leveraging our technology infrastructure built upon a network of cloud servers strategically located across China, JPush enables timely and reliable delivery of notifications, which can translate into a more engaged and larger active user base for developers and, ultimately, scalability of their businesses and higher return on their investment. JPush pushed over 12.1 billion messages to various app end users on an average daily basis in the three months ended December 31, 2025.</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Currently, we offer a basic package of push notification services free of charge, and we charge subscription fees, primarily on a monthly basis, for our VIP premium package. Compared to the basic package, the VIP premium package includes more real-time pushes, more offline message storage, exclusive high-speed channels for VIP push notification traffic and customized SDK features.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JAnalytics—Data Analytics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JAnalytics enables developers and business decision makers to quickly understand the operating performance of their apps and customer base. Leveraging our data analytics capabilities, we are able to process large amounts of device-level mobile behavioral and app operational data in an aggregated and anonymized fashion and generate market trend reports, industry rankings and other customizable statistical reports, allowing app developers to understand their own market position.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JAnalytics includes basic and customizable service offerings. For our basic service offering, we have ready-to-use event models for real-time querying. Events typically relate to device owners’ in-app behavior. Based on the event type selected by the developer, JAnalytics processes and distills data to generate statistical reports. Our customizable service offering gives developers the flexibility to change the data dimension and the event type according to their choices.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Developers can review JAnalytics results on our proprietary dashboard and receive certain results on their own backend system through APIs provided by us. Currently, we offer JAnalytics free of charge.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JMessage—Instant Messaging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real-time internet-based instant messaging services, or JMessage, enables developers to easily embed instant messaging functionality into their apps. Built upon JPush’s robust message distribution system, JMessage provides end users with stable and reliable chat features. JMessage features customizable personal chats, group chats and chat rooms. JMessage also supports rich media messaging, voice messaging, pictures, files, offline messaging and location sharing.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Similar to JPush, we currently offer a basic package of instant messaging services free of charge, and we charge subscription fees, primarily on a monthly basis, for our VIP premium package. In comparison to the basic package, the VIP premium package allows for more message exchanges, higher frequency usage of API, more chat rooms and dedicated communication channels.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JSMS—SMS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SMS services, or JSMS, enable developers to easily integrate SMS text message functions for authentication and serves as an incremental channel for user communication in addition to JPush. Leveraging our strong message distribution system and telecom operators’ networks, we provide fast and reliable delivery of messages to end users with low latency. Developers can also programmatically send, receive and track SMS messages. We charge a fee for JSMS based on the number of messages delivered.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JVerification—One-click Verification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fast integration and one-click verification services, or JVerification, enable developers to quickly verify the cellphone number without verification code to improve conversion rate and user experience by integrating three major telecommunication operators in mainland China. We provide stable and convenient access so that developers can quickly complete SDK integration without additional development cost. We charge a fee for JVerification based on the number of messages delivered.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JMLink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JMLink is an enterprise-level deep linking service. It creates a highly effective way to improve user growth and activity. JMLink, with its deep link technology, helps direct customers to service with one-link. Short linking service could be integrated into the shared contents. When end-users click the link, targeted app installed on the device would be awakened and the corresponding page would be loaded on the app. JMLink helps promote conversion rate of products and services, thereby improving user growth and engagement.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Cloud-based Developer Services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most of our developer services are provided through public-cloud servers, we also provide fee-based private cloud-based developer services. Our private cloud-based packages are designed to provide customizable services to app developers who want a more controlled software environment and more comprehensive technology and customer support. Currently, we offer a private cloud-based service option to our JPush, JSMS, JVerification and JUMS customers. We charge a fee for the private cloud-based packages on a project basis and a monthly fee for the ongoing maintenance of the private cloud.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Overseas Messaging Service Platform EngageLab</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facilitate the overseas expansion of Chinese companies, we launched our overseas messaging service platform EngageLab in October 2022. EngageLab is a cloud communication platform and offers omni-channel messaging solutions to global enterprises and developers, including push notification service, email service, SMS service and other services. As of the date of this annual report, EngageLab has established partnerships with hundreds of leading enterprises in various industries, including technology, internet, smartphone, video, media, auto, finance, healthcare, and e-commerce.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Enterprise-grade AI agent platform GPTBots.ai</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GPTBots.ai is an enterprise-grade AI agent platform, offering no-code/low-code AI agent development, deployment, and management for enterprise clients. Through multi-model LLM integration and intelligent workflow automation, GPTBots.ai empowers organizations to enhance customer service, optimize knowledge management, and automate business processes, driving digital innovation and transformation worldwide.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Value Added Services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Advertisement SAAS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Advertisement SAAS is our data management platform service, which provides tagged and de-identified population data package to customers who can utilize for ads placement without our direct involvement. We provide advertisement SAAS services by charging a fee based on a percentage of total value of advertisement placed.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JG Alliance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provide services in the form of integrated marketing campaigns to advertising customers through JG Alliance. We generate revenue using performance-based fee arrangements where we charge the advertising customers primarily on a cost-per-click or cost-per-action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 Mediation Platform</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AD Mediation Platform leveraged our proprietary SDK technology to help mobile app developers access other mainstream advertising platforms in mainland China and help them better monetize their application advertising inventory.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AI-Powered Data Processing Platform</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By providing services to mobile app developers, we gain access to and aggregate massive amounts of anonymous device-level mobile behavioral data that we use to develop our industry-specific solutions. We only gain access to selected device-level data that is necessary for, and relevant to, the services provided based on our agreements with app developers and the consents they obtain from end users. Our developer services can be integrated into various apps on a single device which allows us to receive data from different and multiple dimensions, both online and offline. The data received through developer services primarily consists of unstructured metadata.</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also collaborate with third-party data service providers to supplement our dataset and maintain a strict vetting process before engaging third-party data service providers to ensure the integrity and quality of our data.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Four Vs of Our Data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the key differentiating features of our data set is its volume, variety, velocity and veracity.</w:t>
      </w:r>
    </w:p>
    <w:p>
      <w:pPr>
        <w:spacing w:after="0" w:line="223" w:lineRule="exact"/>
        <w:rPr>
          <w:sz w:val="20"/>
          <w:szCs w:val="20"/>
          <w:color w:val="auto"/>
        </w:rPr>
      </w:pPr>
    </w:p>
    <w:p>
      <w:pPr>
        <w:ind w:left="1000" w:right="20" w:hanging="317"/>
        <w:spacing w:after="0" w:line="284"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Volume—massive and ever-growing data pool. </w:t>
      </w:r>
      <w:r>
        <w:rPr>
          <w:rFonts w:ascii="Times New Roman" w:cs="Times New Roman" w:eastAsia="Times New Roman" w:hAnsi="Times New Roman"/>
          <w:sz w:val="18"/>
          <w:szCs w:val="18"/>
          <w:color w:val="auto"/>
        </w:rPr>
        <w:t>We had accumulated data from over 83.8 billion installations of our SDKs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part of our developer services since our inception as of December 31, 2025.</w:t>
      </w:r>
    </w:p>
    <w:p>
      <w:pPr>
        <w:spacing w:after="0" w:line="158" w:lineRule="exact"/>
        <w:rPr>
          <w:rFonts w:ascii="Times New Roman" w:cs="Times New Roman" w:eastAsia="Times New Roman" w:hAnsi="Times New Roman"/>
          <w:sz w:val="18"/>
          <w:szCs w:val="18"/>
          <w:color w:val="auto"/>
        </w:rPr>
      </w:pPr>
    </w:p>
    <w:p>
      <w:pPr>
        <w:jc w:val="both"/>
        <w:ind w:left="1000" w:hanging="317"/>
        <w:spacing w:after="0" w:line="257"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Variety—multi-dimensional data. </w:t>
      </w:r>
      <w:r>
        <w:rPr>
          <w:rFonts w:ascii="Times New Roman" w:cs="Times New Roman" w:eastAsia="Times New Roman" w:hAnsi="Times New Roman"/>
          <w:sz w:val="18"/>
          <w:szCs w:val="18"/>
          <w:color w:val="auto"/>
        </w:rPr>
        <w:t>Our services had been used by a cumulative number of approximately 786,900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developers representing about 2.0 million mobile apps in a variety of industries, such as media, entertainment, gaming, financial services, tourism, ecommerce, and education, as of December 31, 2025. This allows us to have access to a diverse array of mobile behavioral data. For online activities, we have access to data relating to app installations and uninstallations, app usage and device and operating system information. Regarding offline activities, we have access to location-based data.</w:t>
      </w:r>
    </w:p>
    <w:p>
      <w:pPr>
        <w:spacing w:after="0" w:line="182" w:lineRule="exact"/>
        <w:rPr>
          <w:rFonts w:ascii="Times New Roman" w:cs="Times New Roman" w:eastAsia="Times New Roman" w:hAnsi="Times New Roman"/>
          <w:sz w:val="18"/>
          <w:szCs w:val="18"/>
          <w:color w:val="auto"/>
        </w:rPr>
      </w:pPr>
    </w:p>
    <w:p>
      <w:pPr>
        <w:jc w:val="both"/>
        <w:ind w:left="1000" w:hanging="317"/>
        <w:spacing w:after="0" w:line="257"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Velocity—data timeliness. </w:t>
      </w:r>
      <w:r>
        <w:rPr>
          <w:rFonts w:ascii="Times New Roman" w:cs="Times New Roman" w:eastAsia="Times New Roman" w:hAnsi="Times New Roman"/>
          <w:sz w:val="18"/>
          <w:szCs w:val="18"/>
          <w:color w:val="auto"/>
        </w:rPr>
        <w:t>We access and process a large volume of data in real time. In December 2025, we captured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approximately 2.0 billion monthly active SDKs. We define monthly active SDKs in a given period as the number of SDKs offered as part of our developer services and integrated into apps that have been installed on mobile devices, which have established active connection with our servers in the last month of the same period. To increase the speed of data processing and ensure data timeliness, we routinely and frequently upgrade our technology and infrastructure used for data processing and data analytics.</w:t>
      </w:r>
    </w:p>
    <w:p>
      <w:pPr>
        <w:spacing w:after="0" w:line="182" w:lineRule="exact"/>
        <w:rPr>
          <w:rFonts w:ascii="Times New Roman" w:cs="Times New Roman" w:eastAsia="Times New Roman" w:hAnsi="Times New Roman"/>
          <w:sz w:val="18"/>
          <w:szCs w:val="18"/>
          <w:color w:val="auto"/>
        </w:rPr>
      </w:pPr>
    </w:p>
    <w:p>
      <w:pPr>
        <w:jc w:val="both"/>
        <w:ind w:left="1000" w:hanging="317"/>
        <w:spacing w:after="0" w:line="267"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Veracity—data accuracy. </w:t>
      </w:r>
      <w:r>
        <w:rPr>
          <w:rFonts w:ascii="Times New Roman" w:cs="Times New Roman" w:eastAsia="Times New Roman" w:hAnsi="Times New Roman"/>
          <w:sz w:val="18"/>
          <w:szCs w:val="18"/>
          <w:color w:val="auto"/>
        </w:rPr>
        <w:t>Through our data processing platform, we cleanse, structure and encrypt raw data to ensure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accuracy. We also have strict policies and internal procedures in place to ensure our data security. Moreover, our data is not associated with a specific family of apps, which increases the unbiasedness of the data we capture.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Processing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backbone of our technology is our centralized proprietary data processing platform. Once the original device-level mobile behavioral data is collected, the platform stores, cleanses, structures and encrypts data for modeling exercises in an aggregated and anonymized fashion. The centralized platform delivers speed and scalability, providing data and analytics support across our product lines.</w:t>
      </w:r>
    </w:p>
    <w:p>
      <w:pPr>
        <w:spacing w:after="0" w:line="178" w:lineRule="exact"/>
        <w:rPr>
          <w:sz w:val="20"/>
          <w:szCs w:val="20"/>
          <w:color w:val="auto"/>
        </w:rPr>
      </w:pPr>
    </w:p>
    <w:p>
      <w:pPr>
        <w:ind w:left="1000" w:hanging="317"/>
        <w:spacing w:after="0" w:line="284"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Storage. </w:t>
      </w:r>
      <w:r>
        <w:rPr>
          <w:rFonts w:ascii="Times New Roman" w:cs="Times New Roman" w:eastAsia="Times New Roman" w:hAnsi="Times New Roman"/>
          <w:sz w:val="18"/>
          <w:szCs w:val="18"/>
          <w:color w:val="auto"/>
        </w:rPr>
        <w:t>We systematically organize and store unstructured data in our Hadoop server cluster. As part of our data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original data is all stored on our local servers protected by firewalls.</w:t>
      </w:r>
    </w:p>
    <w:p>
      <w:pPr>
        <w:spacing w:after="0" w:line="158" w:lineRule="exact"/>
        <w:rPr>
          <w:rFonts w:ascii="Times New Roman" w:cs="Times New Roman" w:eastAsia="Times New Roman" w:hAnsi="Times New Roman"/>
          <w:sz w:val="18"/>
          <w:szCs w:val="18"/>
          <w:color w:val="auto"/>
        </w:rPr>
      </w:pPr>
    </w:p>
    <w:p>
      <w:pPr>
        <w:jc w:val="both"/>
        <w:ind w:left="1000" w:right="20" w:hanging="317"/>
        <w:spacing w:after="0" w:line="267"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Cleansing. </w:t>
      </w:r>
      <w:r>
        <w:rPr>
          <w:rFonts w:ascii="Times New Roman" w:cs="Times New Roman" w:eastAsia="Times New Roman" w:hAnsi="Times New Roman"/>
          <w:sz w:val="18"/>
          <w:szCs w:val="18"/>
          <w:color w:val="auto"/>
        </w:rPr>
        <w:t>The data processing platform cleanses data stored in our server cluster. Our cleansing system reduces noise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unstructured data by detecting anomalies in the original data, evaluating data authenticity and sifting out non-usable, corrupted or redundant data.</w:t>
      </w:r>
    </w:p>
    <w:p>
      <w:pPr>
        <w:spacing w:after="0" w:line="173"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Structuring. </w:t>
      </w:r>
      <w:r>
        <w:rPr>
          <w:rFonts w:ascii="Times New Roman" w:cs="Times New Roman" w:eastAsia="Times New Roman" w:hAnsi="Times New Roman"/>
          <w:sz w:val="18"/>
          <w:szCs w:val="18"/>
          <w:color w:val="auto"/>
        </w:rPr>
        <w:t>The data processing platform further structures cleansed data and stores it as structured datasets.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Encrypting. </w:t>
      </w:r>
      <w:r>
        <w:rPr>
          <w:rFonts w:ascii="Times New Roman" w:cs="Times New Roman" w:eastAsia="Times New Roman" w:hAnsi="Times New Roman"/>
          <w:sz w:val="18"/>
          <w:szCs w:val="18"/>
          <w:color w:val="auto"/>
        </w:rPr>
        <w:t>Our data processing platform then automatically encrypts device-level data to enhance data security.</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Modeling. </w:t>
      </w:r>
      <w:r>
        <w:rPr>
          <w:rFonts w:ascii="Times New Roman" w:cs="Times New Roman" w:eastAsia="Times New Roman" w:hAnsi="Times New Roman"/>
          <w:sz w:val="18"/>
          <w:szCs w:val="18"/>
          <w:color w:val="auto"/>
        </w:rPr>
        <w:t>We utilize AI technology, including machine learning algorithms, and other data processing and statistics tools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automate the process of finding patterns and generating basic tags associated with each mobile device that we reach through our developer services. Basic tags include, among others, demographic profile, app usage habits and consumption preference, which are widely used in our SAAS Businesses. In addition to basic tags, we can design and generate industry-specific tags based on the characteristics of a specific industry and tailored requests from customers.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AI, Data Analytics and Data Mining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AI, data analytics and data mining capabilities form the basis of our vertical applications, developed for specific industries. We utilize data analytics to gain statistical insight and employ automated data mining processes to find meaningful correlations and intelligent patterns.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we have the following advantages in our AI and machine learning capabilities:</w:t>
      </w:r>
    </w:p>
    <w:p>
      <w:pPr>
        <w:spacing w:after="0" w:line="225" w:lineRule="exact"/>
        <w:rPr>
          <w:sz w:val="20"/>
          <w:szCs w:val="20"/>
          <w:color w:val="auto"/>
        </w:rPr>
      </w:pPr>
    </w:p>
    <w:p>
      <w:pPr>
        <w:jc w:val="both"/>
        <w:ind w:left="1000" w:hanging="317"/>
        <w:spacing w:after="0" w:line="266"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optimized our data warehouse structure to make it more suitable for AI and machine learning processes. We have also designed and built our data warehouse based on the types and features of our data to allow for flexible yet secured access by our engineers and data scientists for developing and maintaining multiple solutions.</w:t>
      </w:r>
    </w:p>
    <w:p>
      <w:pPr>
        <w:spacing w:after="0" w:line="17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features of our data sets, we constantly refine rules engines and machine learning algorithms to improve the accuracy and comprehensiveness of tags generated.</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design and tailor machine learning algorithms based on the nature of our solutions. For example, to enhance our financial risk management solutions, we improve traditional deep learning algorithms by utilizing the machine learning technique of GBDT (gradient boosting decision tree), which not only preserves the correlations between variables but also maximizes the explanatory ability of patterns.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team of data scientists works continually to optimize our proprietary analytical models and improve our analytics capabilities. First, our data scientists input and index more accurate sample training data to train machine learning models more effectively. Second, we also analyze various features of sample data and adopt more suitable and complex modeling algorithms such as deep learning. Third, by gaining access to more data, we can find more features that can be used to improve the predictive capabilities of our data analytics engines. Fourth, our data scientists, equipped with industry knowledge and insights, can refine and optimize the parameters of algorithms by taking into account industry specific or event specific factors.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Security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ensure the confidentiality and integrity of our data, we maintain a comprehensive and rigorous data security program. We gain access to vast amounts of anonymous device-level mobile behavioral data based on services provided to app developers and store the data on our servers protected by firewalls. We generate internal IDs that label and identify mobile devices and encrypt device-level data to enhance data security. Our core data can only be accessed through computers designated for authorized use. These computers cannot be connected to the internet, and no data can be outputted to an external device. Only authorized staff can access those computers for designated purposes. Moreover, we maintain data access logs that record all attempted and successful access to our data and conduct routine manual verifications of large data requests. We also have clear and strict authorization and authentication procedures and policies in place. Our employees only have access to data which is directly relevant and necessary to their job responsibilities and for limited purposes and are required to verify authorization upon every access attempt. See also “Item 3. Key Information—D. Risk Factors—Risks Related to Our Business and Industry—Security and privacy breaches may hurt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Vertical Applications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vertical applications currently focus on market intelligence and financial risk management. Based on our deep understanding of the customer needs and the experience accumulated over the years, we are able to identify industry-specific problems that our data is particularly adept at solving and develop tailored solutions. We are constantly evaluating market opportunities and will strategically expand our solution offerings that use our data and insights to increase productivity for additional industries and customers.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From tag generation to product design to day-to-day deployment of our solutions, we leverage our high-quality and ever-growing data pool and utilize AI and machine learning technology and other advanced data technology to productize our vertical applications. During the development stage of our vertical applications, proprietary indices and tags are generated by our centralized data processing platform. These tags and indices cover multiple dimensions which we then selectively utilize for different solutions depending on solution specific requirements. We have been making continuous efforts to enhance our vertical applications by interacting with our customers and incorporating their feedback on our solutions. Over time, we have been able to shorten our product development cycle as we increase the size of our data pool and the depth of our data and accumulated more market intelligence and experiences through a trial-and-error process.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Moreover, by purposefully designing our vertical applications to be standardized, we make such vertical application services easily scalable to serve an increasing number of customers. Because of the comprehensiveness and inter-connectedness of our data and solutions, we can offer one-stop solutions to our customers and cross-sell other suitable or newly developed solutions to existing customers.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received numerous awards for our innovative vertical applications, including the “High-Quality Digital Transformation Technology Solutions Collection (2025)” awarded by CAICT, “High-Quality Digital Transformation Products and Services Panorama (2025)” awarded by CAICT, the “2024 Technological Innovation Leadership Award” awarded by the 13th CFC Financial Summit and 2024 Amazing Innovation and Entrepreneurs Festival, and the “Outstanding Enterprise Award for Digital Services” awarded by the 8th FMCG Retail Consumer Goods Digital Summit.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Intelligence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By leveraging our access to massive amounts of data relating to mobile app operations, our market intelligence solutions empower corporations and investors to make business and investment decisions.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provide three versions of market intelligence solutions as follows:</w:t>
      </w:r>
    </w:p>
    <w:p>
      <w:pPr>
        <w:spacing w:after="0" w:line="223" w:lineRule="exact"/>
        <w:rPr>
          <w:sz w:val="20"/>
          <w:szCs w:val="20"/>
          <w:color w:val="auto"/>
        </w:rPr>
      </w:pPr>
    </w:p>
    <w:p>
      <w:pPr>
        <w:ind w:left="1000" w:right="20" w:hanging="317"/>
        <w:spacing w:after="0" w:line="284"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Enterprise-oriented solutions: </w:t>
      </w:r>
      <w:r>
        <w:rPr>
          <w:rFonts w:ascii="Times New Roman" w:cs="Times New Roman" w:eastAsia="Times New Roman" w:hAnsi="Times New Roman"/>
          <w:sz w:val="18"/>
          <w:szCs w:val="18"/>
          <w:color w:val="auto"/>
        </w:rPr>
        <w:t>We provide industry ranking, competitive analysis and operational analysis for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w:t>
      </w:r>
    </w:p>
    <w:p>
      <w:pPr>
        <w:spacing w:after="0" w:line="158" w:lineRule="exact"/>
        <w:rPr>
          <w:rFonts w:ascii="Times New Roman" w:cs="Times New Roman" w:eastAsia="Times New Roman" w:hAnsi="Times New Roman"/>
          <w:sz w:val="18"/>
          <w:szCs w:val="18"/>
          <w:color w:val="auto"/>
        </w:rPr>
      </w:pPr>
    </w:p>
    <w:p>
      <w:pPr>
        <w:ind w:left="1000" w:hanging="317"/>
        <w:spacing w:after="0" w:line="284"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Fund-oriented solutions: </w:t>
      </w:r>
      <w:r>
        <w:rPr>
          <w:rFonts w:ascii="Times New Roman" w:cs="Times New Roman" w:eastAsia="Times New Roman" w:hAnsi="Times New Roman"/>
          <w:sz w:val="18"/>
          <w:szCs w:val="18"/>
          <w:color w:val="auto"/>
        </w:rPr>
        <w:t>We provide industry trends analysis, track portfolio company growth and conduct project-oriented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case studies for fund managers.</w:t>
      </w:r>
    </w:p>
    <w:p>
      <w:pPr>
        <w:spacing w:after="0" w:line="158" w:lineRule="exact"/>
        <w:rPr>
          <w:rFonts w:ascii="Times New Roman" w:cs="Times New Roman" w:eastAsia="Times New Roman" w:hAnsi="Times New Roman"/>
          <w:sz w:val="18"/>
          <w:szCs w:val="18"/>
          <w:color w:val="auto"/>
        </w:rPr>
      </w:pPr>
    </w:p>
    <w:p>
      <w:pPr>
        <w:ind w:left="1000" w:hanging="317"/>
        <w:spacing w:after="0" w:line="284"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Project-based tailor-made solutions: </w:t>
      </w:r>
      <w:r>
        <w:rPr>
          <w:rFonts w:ascii="Times New Roman" w:cs="Times New Roman" w:eastAsia="Times New Roman" w:hAnsi="Times New Roman"/>
          <w:sz w:val="18"/>
          <w:szCs w:val="18"/>
          <w:color w:val="auto"/>
        </w:rPr>
        <w:t>We provide more in-depth analytics services and generate customized statistics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reports based on customers’ specific requirements.</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Customers can subscribe to any version of our market intelligence solutions based on either the number of apps covered under the solution or the number of queries. Customers who subscribe to our market intelligence solution based on the number of apps covered can review the operating metrics of those apps they have subscribed to on our interactive dashboard. The query-based subscription package provides functions that accommodate ad hoc requests from customers and gives customers more flexibility when they want to search for and review the statistical results of a particular mobile app.</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primarily provide market intelligence solutions under annual subscriptions. Subscription prices are quoted based on either the number of apps customers subscribe to or the number of queries customers need within a subscription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Risk Management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Financial risk management solutions help our customers better assess and control their credit and fraud risk exposure, facilitating enterprise risk management and innovative decision-making. Our target customers for financial risk management solutions include financial institutions such as banks and insurance companies, as well as emerging financial technology companies. We provide three types of financial risk management solutions to help our customers make pre-lending decisions: anti-fraud risk features, and blacklist.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Anti-fraud risk features. </w:t>
      </w:r>
      <w:r>
        <w:rPr>
          <w:rFonts w:ascii="Times New Roman" w:cs="Times New Roman" w:eastAsia="Times New Roman" w:hAnsi="Times New Roman"/>
          <w:sz w:val="18"/>
          <w:szCs w:val="18"/>
          <w:color w:val="auto"/>
        </w:rPr>
        <w:t>We offer standard packages that include over 10,000 unique risk features that are similar to the basic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tags we generate but are more advanced in terms of their structural complexity and tailored for risk assessment in financial industry. We provide anti-fraud risk features to customers through APIs that automate querying processes, enabling customers to incorporate these risk features into their own risk modeling.</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develop the risk features based on anonymous device-level mobile behavioral data. We only exchange such risk features with our customers’ backend systems based on their queries, and we do not have access to credit applicants’ identification information which is in our customers’ sole control. We utilize our proprietary algorithms to help customers determine the broader creditworthiness of a borrower. Our algorithms can translate complex data and intelligently combine different types of data organized by advanced tags into explainable patterns of behavior that are relevant to the borrower’s financial status and creditworthiness. We believe these selected risk features we offer, such as those relating to payment behaviors and usage of consumer finance mobile apps, are most relevant to credit assessments.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customers who subscribe to our customizable package, we work closely with them to jointly develop credit assessment models, tailor-made risk features as well as internal risk management policies.</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Blacklist. </w:t>
      </w:r>
      <w:r>
        <w:rPr>
          <w:rFonts w:ascii="Times New Roman" w:cs="Times New Roman" w:eastAsia="Times New Roman" w:hAnsi="Times New Roman"/>
          <w:sz w:val="18"/>
          <w:szCs w:val="18"/>
          <w:color w:val="auto"/>
        </w:rPr>
        <w:t>We maintain a blacklist that includes primarily potential defaults or frauds predicted based on our data analytics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capabilities. We create an initial blacklist that contains default and delinquency history based on publicly available data and data provided by third parties. We then utilize our AI and data analytics capabilities to study this data, identify the behavioral features and patterns that may lead to future default or fraud, apply the identified features and patterns to our own data sets, predict potential default or fraud based on the features and patterns and include the results in our blacklist.</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provide our financial risk management solutions using a query-based model and charge our customers based on the volume of queries we process and the number of features they utilize. We also provide a yearly subscription package that sets an upper limit on the number of queries we process during the subscription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JG iAudience</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JG iAudience is a user labeling solution that leverages massive information accumulated via mobile terminals to build a multi-dimensional, accurate and complete user profiling system. iAudience helps businesses to precisely target different customer demographics, develop personalized operational strategies, improve service quality and facilitate real-time decision-making process that drives business growth. In 2023, iAudience, together with other two data products, Aurora Risk Factor and Aurora Risk Marketing Score, are available for trading on the Shenzhen Data Exchange, following the complete data product launch process approved by the exchange.</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Infrastructure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built a robust technology infrastructure to support the usage of our developer services and delivery of SAAS Businesses on a real-time basis. We utilize cloud servers provided by industry-leading third-party cloud service providers. Our domestic cloud servers are located in three cities, namely Guangzhou, Beijing and Shanghai, while we use cloud service from several overseas providers, including those located in Hong Kong, Singapore, Germany and the United States, to ensure broad network coverage and minimize disruptions in our services.</w:t>
      </w:r>
    </w:p>
    <w:p>
      <w:pPr>
        <w:spacing w:after="0" w:line="1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strategically selected our data center locations. For our core data centers in Beijing, Guangzhou and Singapore, we employ advanced active-active data center architecture that allows multiple data centers to service the same application at any given time, maximizing continuous availability of our servers and minimizing instability caused by single point failure. Specifically, our active-active data center architecture effectively addresses problems that are commonly encountered when communications are transmitted cross-regionally and across different telecom providers in China.</w:t>
      </w:r>
    </w:p>
    <w:p>
      <w:pPr>
        <w:spacing w:after="0" w:line="1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technology infrastructure delivers the stability needed to support our high messaging and data volume, the high speed required for real-time apps, the scalability to support increased volumes over time and the flexibility to allow for new product development and the integration of multiple developer services into a single app. Leveraging our extensive and carefully designed technology infrastructure, we are able to provide app developers and vertical applications customers with more cost-effective solutions with great stability, immense speed and high reliability.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invest substantial resources in research and development to improve our technology, develop new solutions that are complementary to existing ones and find ways to better support app developers and our vertical applications customers. We believe our ability to develop innovative solutions and enhance our existing service offerings is the key to maintaining our leadership. We incurred RMB121.8 million, RMB94.8 million and RMB104.7 million (US$15.0 million) of research and development expenses in 2023, 2024 and 2025, respectively.</w:t>
      </w:r>
    </w:p>
    <w:p>
      <w:pPr>
        <w:spacing w:after="0" w:line="1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research and development teams are primarily organized into three groups. A team of software engineers and technology infrastructure architects work closely together to develop and upgrade new and existing developer services. We have a dedicated team of data scientists who focus on data modeling using machine learning technology and maintain and upgrade our data processing platform. We also have another team of product developers who identify the potential market demand and lead the development of new SAAS Businesses and enhancement of existing solutions. Most of our research and development personnel are based in Shenzhen, and we also maintain a research and development center in Beijing.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 broad and diverse customer base, which has expanded rapidly since our inception. In 2023, 2024 and 2025, we had 5,904, 6,084 and 6,587 customers who purchased our SAAS Businesses within the periods, respectively. We define customers in a given period as those that purchase at least one of our paid-for SAAS Businesses during the same period. No single customer represented more than 10% of our total revenues in the years ended December 31, 2023, 2024 and 2025.</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describes our customer base for each of our SAAS Businesses:</w:t>
      </w:r>
    </w:p>
    <w:p>
      <w:pPr>
        <w:spacing w:after="0" w:line="223" w:lineRule="exact"/>
        <w:rPr>
          <w:sz w:val="20"/>
          <w:szCs w:val="20"/>
          <w:color w:val="auto"/>
        </w:rPr>
      </w:pPr>
    </w:p>
    <w:p>
      <w:pPr>
        <w:jc w:val="both"/>
        <w:ind w:left="1000" w:right="20" w:hanging="317"/>
        <w:spacing w:after="0" w:line="261"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Developer services. </w:t>
      </w:r>
      <w:r>
        <w:rPr>
          <w:rFonts w:ascii="Times New Roman" w:cs="Times New Roman" w:eastAsia="Times New Roman" w:hAnsi="Times New Roman"/>
          <w:sz w:val="18"/>
          <w:szCs w:val="18"/>
          <w:color w:val="auto"/>
        </w:rPr>
        <w:t>While we adopt a freemium model for most of our developer services, we charge a fee for JSMS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number of messages delivered, and we also charge a subscription fee for the VIP premium package of certain developer services such as JPush and JMessage and a project-based fee for private cloud-based services provided upon the request of customers.</w:t>
      </w:r>
    </w:p>
    <w:p>
      <w:pPr>
        <w:spacing w:after="0" w:line="179" w:lineRule="exact"/>
        <w:rPr>
          <w:rFonts w:ascii="Times New Roman" w:cs="Times New Roman" w:eastAsia="Times New Roman" w:hAnsi="Times New Roman"/>
          <w:sz w:val="18"/>
          <w:szCs w:val="18"/>
          <w:color w:val="auto"/>
        </w:rPr>
      </w:pPr>
    </w:p>
    <w:p>
      <w:pPr>
        <w:ind w:left="1000" w:right="20" w:hanging="317"/>
        <w:spacing w:after="0" w:line="284"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 intelligence. </w:t>
      </w:r>
      <w:r>
        <w:rPr>
          <w:rFonts w:ascii="Times New Roman" w:cs="Times New Roman" w:eastAsia="Times New Roman" w:hAnsi="Times New Roman"/>
          <w:sz w:val="18"/>
          <w:szCs w:val="18"/>
          <w:color w:val="auto"/>
        </w:rPr>
        <w:t>Our customers for our market intelligence solutions primarily consist of investment funds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that have specific needs to capture real-time market intelligence.</w:t>
      </w:r>
    </w:p>
    <w:p>
      <w:pPr>
        <w:spacing w:after="0" w:line="158" w:lineRule="exact"/>
        <w:rPr>
          <w:rFonts w:ascii="Times New Roman" w:cs="Times New Roman" w:eastAsia="Times New Roman" w:hAnsi="Times New Roman"/>
          <w:sz w:val="18"/>
          <w:szCs w:val="18"/>
          <w:color w:val="auto"/>
        </w:rPr>
      </w:pPr>
    </w:p>
    <w:p>
      <w:pPr>
        <w:ind w:left="1000" w:hanging="317"/>
        <w:spacing w:after="0" w:line="284"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risk management. </w:t>
      </w:r>
      <w:r>
        <w:rPr>
          <w:rFonts w:ascii="Times New Roman" w:cs="Times New Roman" w:eastAsia="Times New Roman" w:hAnsi="Times New Roman"/>
          <w:sz w:val="18"/>
          <w:szCs w:val="18"/>
          <w:color w:val="auto"/>
        </w:rPr>
        <w:t>Our customers for financial risk management solutions are mainly financial institutions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banks and insurance companies and financial technology companies.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sell our solutions through our experienced direct sales force. Our sales force is first organized by product line, with each team responsible for one line of our SAAS Businesses offerings, and then further organized into multiple regional teams covering different regions across China.</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incentivize our sales teams by setting specific key performance goals for each team responsible for the corresponding line of SAAS Businesses by adopting a commission-based reward mechanism linked to the sales personnel’s performance. We design the mechanism to encourage and incentivize our sales teams to sell not only newly developed service or solution offerings but also the existing SAAS Businesses.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sales teams focus on expanding our customer base and increasing the spending by existing customers, seeking to capture follow-on and cross-selling opportunities to drive purchases and subscriptions of additional functionalities and solutions. Due to the comprehensiveness and interconnectedness of our products and solutions, we can offer one-stop solutions to our customers across their full customer lifecycle management and cross-sell other suitable and newly developed solutions to our customers.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also operate a proprietary customer management system comprising a number of functions, including customer management, contract management and processing and keeping records of financial related matters. Our sales teams use our customer management system to manage our customers, contracts and orders. This integrated system enhances our ability to manage our customers and allows us to react to customer needs in a fast and efficient way. We believe that our customer management system has been a key factor in enabling us to manage the rapid growth of our business to date and provides us with scalability going forward.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Support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stage of initial engagement with a customer, we have our research and development personnel that is responsible for developing and enhancing the SAAS Businesses provide technical and customer support to the customer, and our sales personnel serves as the contact point for the customer and facilitates communication between the customer and support personnel.</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vast majority of our developers use automated self-service tools that are available on our website for support features. We share a wide variety of information directly with developers on our website, </w:t>
      </w:r>
      <w:r>
        <w:rPr>
          <w:rFonts w:ascii="Times New Roman" w:cs="Times New Roman" w:eastAsia="Times New Roman" w:hAnsi="Times New Roman"/>
          <w:sz w:val="18"/>
          <w:szCs w:val="18"/>
          <w:u w:val="single" w:color="auto"/>
          <w:color w:val="auto"/>
        </w:rPr>
        <w:t>Jiguang.cn</w:t>
      </w:r>
      <w:r>
        <w:rPr>
          <w:rFonts w:ascii="Times New Roman" w:cs="Times New Roman" w:eastAsia="Times New Roman" w:hAnsi="Times New Roman"/>
          <w:sz w:val="18"/>
          <w:szCs w:val="18"/>
          <w:color w:val="auto"/>
        </w:rPr>
        <w:t>, including detailed service information, downloadable SDKs and APIs, and post technical support threads on Jiguang developer community sites. Our developer services team is available for online and email support. We also provide tailored one-on-one customer support to a portion of developers who pay for our developer services.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have dedicated account managers to ensure customer satisfaction by gathering ongoing feedback and seek to expand their usage of our solutions once they reach a certain spending level with us. We also encourage them to use our customer portal to facilitate self-service after sales. Customers can log into their web-based user portals to track the status of usage and renew their subscriptions with a few clicks.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 marketing team responsible for increasing the awareness of our brand, promoting our new and existing solutions, maintaining our relationship with business partners and managing public relations. We deploy comprehensive strategies for our marketing efforts, including:</w:t>
      </w:r>
    </w:p>
    <w:p>
      <w:pPr>
        <w:spacing w:after="0" w:line="174" w:lineRule="exact"/>
        <w:rPr>
          <w:sz w:val="20"/>
          <w:szCs w:val="20"/>
          <w:color w:val="auto"/>
        </w:rPr>
      </w:pPr>
    </w:p>
    <w:p>
      <w:pPr>
        <w:ind w:left="1000" w:hanging="317"/>
        <w:spacing w:after="0" w:line="284"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Collaboration with media partners. </w:t>
      </w:r>
      <w:r>
        <w:rPr>
          <w:rFonts w:ascii="Times New Roman" w:cs="Times New Roman" w:eastAsia="Times New Roman" w:hAnsi="Times New Roman"/>
          <w:sz w:val="18"/>
          <w:szCs w:val="18"/>
          <w:color w:val="auto"/>
        </w:rPr>
        <w:t>We have established collaboration selectively with traditional and online media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published 138 corporate releases and product releases on media and also issued 22 data reports in 2025.</w:t>
      </w:r>
    </w:p>
    <w:p>
      <w:pPr>
        <w:spacing w:after="0" w:line="158"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Offline events. </w:t>
      </w:r>
      <w:r>
        <w:rPr>
          <w:rFonts w:ascii="Times New Roman" w:cs="Times New Roman" w:eastAsia="Times New Roman" w:hAnsi="Times New Roman"/>
          <w:sz w:val="18"/>
          <w:szCs w:val="18"/>
          <w:color w:val="auto"/>
        </w:rPr>
        <w:t>We host and participate in various events, industry conferences and developer and industry salons in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as the World Artificial Intelligence Conference, the 2025 Shenzhen International Artificial Intelligence Exhibition (AIE 2025), the InnoEX 2025 Hong Kong, the MarTech Summit Asia, the Zanroo AI Enterprise Workshop, and the OceanLink KL Game Connect 2025, to develop and maintain relationships with industry participants and app developers.</w:t>
      </w:r>
    </w:p>
    <w:p>
      <w:pPr>
        <w:spacing w:after="0" w:line="179" w:lineRule="exact"/>
        <w:rPr>
          <w:rFonts w:ascii="Times New Roman" w:cs="Times New Roman" w:eastAsia="Times New Roman" w:hAnsi="Times New Roman"/>
          <w:sz w:val="18"/>
          <w:szCs w:val="18"/>
          <w:color w:val="auto"/>
        </w:rPr>
      </w:pPr>
    </w:p>
    <w:p>
      <w:pPr>
        <w:ind w:left="1000" w:hanging="317"/>
        <w:spacing w:after="0" w:line="284"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Online channels. </w:t>
      </w:r>
      <w:r>
        <w:rPr>
          <w:rFonts w:ascii="Times New Roman" w:cs="Times New Roman" w:eastAsia="Times New Roman" w:hAnsi="Times New Roman"/>
          <w:sz w:val="18"/>
          <w:szCs w:val="18"/>
          <w:color w:val="auto"/>
        </w:rPr>
        <w:t>We also utilize online channels to deepen the interaction with developers, engage developers in our online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communities and create more traffic for our follow-up marketing attempts.</w:t>
      </w:r>
    </w:p>
    <w:p>
      <w:pPr>
        <w:spacing w:after="0" w:line="158" w:lineRule="exact"/>
        <w:rPr>
          <w:rFonts w:ascii="Times New Roman" w:cs="Times New Roman" w:eastAsia="Times New Roman" w:hAnsi="Times New Roman"/>
          <w:sz w:val="18"/>
          <w:szCs w:val="18"/>
          <w:color w:val="auto"/>
        </w:rPr>
      </w:pPr>
    </w:p>
    <w:p>
      <w:pPr>
        <w:jc w:val="both"/>
        <w:ind w:left="1000" w:hanging="317"/>
        <w:spacing w:after="0" w:line="267"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Online customer acquisition. </w:t>
      </w:r>
      <w:r>
        <w:rPr>
          <w:rFonts w:ascii="Times New Roman" w:cs="Times New Roman" w:eastAsia="Times New Roman" w:hAnsi="Times New Roman"/>
          <w:sz w:val="18"/>
          <w:szCs w:val="18"/>
          <w:color w:val="auto"/>
        </w:rPr>
        <w:t>We conduct online targeted marketing for ourselves mainly in cooperation with our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For example, we work with leading search engine companies to enable our potential customers to locate us more easily by searching certain keywords.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seek to protect our technology, including our proprietary technology infrastructure and core software system, through a combination of patent, copyright, trademark and trade secret laws, as well as license agreements and other contractual protections. In addition, we enter into confidentiality and non-disclosure agreements with our employees and business partners. The agreements we enter into with our employees also provide that all software, inventions, developments, works of authorship and trade secrets created by them during the course of their employment are our property.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intellectual property rights are critical to our business. As of December 31, 2025, we have 107 patent applications pending in mainland China and own 225 computer software copyrights in mainland China, relating to various aspects of our SAAS Businesses. In addition, we have filed 5 trademark applications and maintained 208 trademark registrations and 4 artwork copyrights in China. We have also registered 215 domain names, including </w:t>
      </w:r>
      <w:r>
        <w:rPr>
          <w:rFonts w:ascii="Times New Roman" w:cs="Times New Roman" w:eastAsia="Times New Roman" w:hAnsi="Times New Roman"/>
          <w:sz w:val="18"/>
          <w:szCs w:val="18"/>
          <w:i w:val="1"/>
          <w:iCs w:val="1"/>
          <w:color w:val="auto"/>
        </w:rPr>
        <w:t>jiguang.cn,</w:t>
      </w:r>
      <w:r>
        <w:rPr>
          <w:rFonts w:ascii="Times New Roman" w:cs="Times New Roman" w:eastAsia="Times New Roman" w:hAnsi="Times New Roman"/>
          <w:sz w:val="18"/>
          <w:szCs w:val="18"/>
          <w:color w:val="auto"/>
        </w:rPr>
        <w:t xml:space="preserve"> among others.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intend to protect our technology and proprietary rights vigorously. We have employed internal policies, confidentiality agreements, encryptions and data security measures to protect our proprietary rights. However, there can be no assurance that our efforts will be successful. Even if our efforts are successful, we may incur significant costs in defending our rights. From time to time, third parties may initiate litigation against us alleging infringement of their proprietary rights or declaring their non-infringement of our intellectual property rights. See “Item 3. Key Information—D. Risk Factors—Risks Related to Our Business and Industry—We may not be able to prevent unauthorized use of our intellectual property, which could harm our business and competitive position” and “Item 3. Key Information—D. Risk Factors—Risks Related to Our Business and Industry—We may be subject to intellectual property infringement claims or other allegations, which could result in our payment of substantial damages, penalties and fines, removal of data or technology from our system.”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we are positioned favorably against our competitors. However, the market for SAAS Businesses is rapidly evolving. Our competitors may compete with us in a variety of ways, including by launching competing products, expanding their product offerings or functionalities, conducting brand promotions and other marketing activities and making acquisitions. In addition, many of our competitors are large, incumbent companies who are better capitalized than we are.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face competition in all lines of business. Our developer services face competition from other major mobile app developer services providers in China. We also face competition from traditional media for advertising spending. We also directly compete with market intelligence service providers with respect to our market intelligence solutions and financial risk management service providers with respect to our financial risk management solutions.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we introduce new SAAS Businesses, as our existing solutions continue to evolve or as other companies introduce new products and services, we may become subject to additional competition. See “Item 3. Key Information—D. Risk Factors—Risks Related to Our Business and Industry—We may not be able to compete successfully with our current or future competitors.”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section sets forth a summary of the most significant rules and regulations that affect our and the VIE’s business activities in mainland China or our shareholders’ rights to receive dividends and other distributions from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M&amp;A Rules and Overseas Listings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2006, six regulatory agencies of mainland China, including the China Securities Regulatory Commission, or the CSRC, jointly adopted the M&amp;A Rules, amended in 2009. The M&amp;A Rules purport, among other things, to require an offshore special purpose vehicle controlled by companies or individuals in mainland China and formed for overseas listing purposes through acquisitions of domestic interest registered in mainland China held by such companies or individuals, to obtain the approval from the CSRC prior to publicly listing their securities on an overseas stock exchange. In 2006, the CSRC published a notice on its official website specifying documents and materials required to be submitted to it by the offshore special purpose vehicle seeking CSRC approval of its overseas listing. While the application of the M&amp;A Rules remains unclear, our PRC counsel, Han Kun Law Offices, has advised us that based on its understanding of current laws, rules and regulations of mainland China and the M&amp;A Rules, prior approval from the CSRC is not required under the M&amp;A Rules for the listing and trading of the ADSs given that (i) our mainland China subsidiaries were directly established by us as wholly foreign-owned enterprises and we have not acquired any equity interest or assets of a domestic company registered in mainland China owned by companies or individuals in mainland China as defined under the M&amp;A Rules that are our beneficial owners after the effective date of the M&amp;A Rules, and (ii) no provision in the M&amp;A Rules clearly classifies the contractual arrangements as a type of transaction subject to the M&amp;A Rules.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However, our PRC counsel has further advised us that there remains some uncertainty as to how the M&amp;A Rules will be interpreted or implemented in the context of an overseas offering, and its opinions summarized above are subject to any new laws, rules and regulations or detailed implementations and interpretations in any form relating to the M&amp;A Rules. If the CSRC or other PRC regulatory agencies subsequently determine that prior CSRC approval was required, we may face regulatory actions or other sanctions from the CSRC or other PRC regulatory agencies.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M&amp;A Rules also establish procedures and requirements that could make some acquisitions of companies in mainland China by foreign investors more time-consuming and complex, including requirements in some instances that the anti-monopoly law enforcement agency be notified in advance of any change-of-control transaction in which a foreign investor takes control of a domestic enterprise registered in mainland China. In addition, the Rules on Implementation of Security Review System for the Merger and Acquisition of Domestic Enterprises by Foreign Investors issued by the Ministry of Commerce in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Ministry of Commerce, and prohibit any activities attempting to bypass such security review, including by structuring the transaction through a proxy or contractual control arrangement. See “Item 3. Key Information—D. Risk Factors—Risks Related to Doing Business in China—The approval and/or other requirements of the CSRC or other PRC governmental authorities may be required in connection with an offering under rules, regulations or policies of mainland China, and, if required, we and the VIE cannot predict whether or how soon we will be able to obtain such approval.”</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6, 2021, the General Office of the Communist Party of China Central Committee and the General Office of the State Council jointly issued a document to crack down on illegal activities in the securities market and promote the high-quality development of the capital market, which, among other things, requires the governmental authorities to strengthen cross-border oversight of law-enforcement and judicial cooperation, to enhance supervision over China-based companies listed overseas, and to establish and improve the system of extraterritorial application of the securities laws of mainland China.</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February 17, 2023, the CSRC promulgated the Trial Administrative Measures of the Overseas Securities Offering and Listing by Domestic Companies and five supporting guidelines, which took effect on March 31, 2023. According to these measures, among other requirements, (1) domestic companies that seek to offer or list securities overseas, both directly and indirectly, should fulfill the filing procedures with the CSRC; if a domestic company fails to complete the filing procedure, such domestic company may be subject to administrative penalties; (2) if the issuer meets both of the following conditions, the overseas offering and listing shall be determined as an indirect overseas offering and listing by a domestic company: (i) any of the total assets, net assets, revenues or profits of the domestic operating entities of the issuer in the most recent accounting year accounts for more than 50% of the corresponding figure in the issuer’s audited consolidated financial statements for the same period; (ii) its major operational activities are carried out in China or its main places of business are located in China, or the senior managers in charge of operation and management of the issuer are mostly Chinese citizens or are domiciled in China; and (3) where a domestic company seeks to indirectly offer and list securities in an overseas market, the issuer shall designate a major domestic operating entity responsible for all filing procedures with the CSRC, and such filings shall be submitted to the CSRC within three business days after the submission of the overseas offering and listing application. Further, at the press conference held for these measures on February 17, 2023, officials from the CSRC clarified that the PRC domestic companies that have already been listed overseas on or before the effective date of the measures (i.e., March 31, 2023) shall be deemed as existing issuers. Existing issuers are not required to complete the filing procedures immediately but shall carry out filing procedures as required if they conduct refinancing or are involved in other circumstances that require filing with the CSRC. The officials from the CSRC have also confirmed that for the PRC domestic companies that seek to list overseas with VIE structure, the CSRC will solicit opinions from regulatory authorities and complete the filing of the overseas listing of companies with VIE structure which meet the compliance requirements.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February 24, 2023, the CSRC, Ministry of Finance of the PRC, National Administration of State Secrets Protection and National Archives Administration of China promulgated the Provisions on Strengthening Confidentiality and Archives Administration of Overseas Securities Offering and Listing by Domestic Companies, which took effect on March 31, 2023. Pursuant to these provisions, domestic companies that seek for overseas offering and listing shall strictly abide by applicable laws and regulations of the PRC and these provisions, enhance legal awareness of keeping state secrets and strengthening archives administration, institute a sound confidentiality and archives administration system, and take necessary measures to fulfill confidentiality and archives administration obligations. Such domestic companies shall not leak any state secret and working secret of government agencies, or harm national security and public interest. Furthermore, a domestic company that plans to, either directly or through its overseas listed entity, publicly disclose or provide to individuals or entities including securities companies, securities service providers and overseas regulators, any document and materials that contain state secrets or working secrets of government agencies, shall first obtain approval from competent authorities according to law, and file with the secrecy administrative department at the same level. Moreover, a domestic company that plans to, either directly or through its overseas listed entity, publicly disclose or provide to individuals and entities including securities companies, securities service providers and overseas regulators, any other documents and materials that, if leaked, will be detrimental to national security or public interest, shall strictly fulfill procedures stipulated by applicable national regulations. These provisions also stipulate that a domestic company that provides accounting archives or copies of accounting archives to any entities including securities companies, securities service providers and overseas regulators and individuals shall fulfill due procedures in compliance with applicable national regulations.</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However, there are substantial uncertainties as to the implementation and interpretation. We cannot predict the impact of these measures and provisions on us, including but not limited to, the maintenance of the listing status of our ADSs and/or other securities, or any of our future offerings of securities overseas at this stage.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Investment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PRC Foreign Investment Law, adopted by the National People’s Congress on March 15, 2019 and its Implementing Regulation adopted by the State Council on December 12, 2019 became effective on January 1, 2020. Pursuant to the PRC Foreign Investment Law, China will grant national treatment to foreign invested entities, except for those foreign invested entities that operate in industries that fall within “restricted” or “prohibited” categories as prescribed in the “negative list” to be released or approved by the State Council. In addition, the Ministry of Commerce promulgated the Measures on Reporting of Foreign Investment Information, effective on January 1, 2020, which provides detailed submission requirements for foreign investors. Foreign investors carrying out investment activities in mainland China directly or indirectly shall submit investment information to the commerce administrative authorities pursuant to these Measures.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Ministry of Commerce and the NDRC jointly promulgated the Special Administrative Measures for Entrance of Foreign Investment (Negative List) (2024 Version), which became effective on November 1, 2024. The Negative List requires that any domestic enterprise registered in mainland China engaging in prohibited industries under the negative list shall obtain the consent of the competent PRC government authorities for overseas listing, and the foreign investors shall not participate in the Negative List (2024 Version), and operation and management of such enterprise, and the shareholding percentage of the foreign investors in such enterprise shall be subject to the administrative provisions of the domestic securities investment by foreign investors. Such negative list does not further elaborate whether existing overseas listed enterprise will be subject to such requirements. The staff of the NDRC addressed in an interview on December 27, 2021 that certain existing overseas listed enterprises whose foreign investors’ shareholding percentage exceed the aforementioned threshold are not required to make adjustment or deduction. It is unclear as to whether the aforesaid provisions will apply to the companies adopting contractual arrangements.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December 2020, the NDRC and Ministry of Commerce promulgated the Measures for the Security Review of Foreign Investment, which came into effect on January 18, 2021. The NDRC and the Ministry of Commerce will establish a working mechanism office in charge of the security review of foreign investment. Such measures define foreign investment as direct or indirect investment by foreign investors in the mainland China, including (i) investment in new onshore projects or establishment of wholly foreign owned onshore companies or joint ventures with foreign investors; (ii) acquiring equity or asset of onshore companies by merger and acquisition; and (iii) onshore investment by and through any other means. Foreign investment in certain key areas with national security concerns, such as important cultural products and services, important information technology and internet products and services, key technologies and others which results in the acquisition of de facto control of invested companies, shall be filed with a specifically established office before such investment is carried out. What may constitute “onshore investment by and through any other means” or “de facto control” is not clearly defined under such measures, and could be broadly interpreted. It is likely that control through contractual arrangement be regarded as de facto control based on provisions applied to security review of foreign investment. Failure to make such filing may subject such foreign investor to rectification within a prescribed period, and the foreign investors will be negatively recorded in the national credit information system, which would then subject such investors to joint punishment as provided by rules. If such investor fails to or refuses to undertake such rectification, it would be ordered to dispose of the equity or asset and to take any other necessary measures so as to return to the status quo and to erase the impact to national security.</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 Cayman Islands company and our businesses by nature in mainland China are mainly value-added telecommunication services, which are restricted for foreign investors by the Negative List (2024 Version). We conduct business operations that are restricted for foreign investment through the VIE.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Telecommunications Services and Foreign Ownership Restrictions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PRC Telecommunications Regulations, which became effective on September 25, 2000 and was latest amended on February 6, 2016, are the core regulations on telecommunications services in mainland China. The PRC Telecommunications Regulations set out basic guidelines on different types of telecommunications business activities, including the distinction between “basic telecommunications services” and “value-added telecommunications services.” According to the latest revised Catalog of Classification of Telecommunication Business, which took effect on March 1, 2016 and was amended on June 6, 2019, information services, whether provided via internet networks or public communication networks, and domestic call center services, are classified as B2 type of value-added telecommunications services. The PRC Telecommunications Regulations require the operators of value-added telecommunications services to obtain value-added telecommunications business operation licenses from the Ministry of Industry and Information Technology or its provincial delegates prior to the commencement of such services.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Regulations on the Administration of Foreign-Invested Telecommunications Enterprises, or the FITE Regulations, which took effect on January 1, 2002 and were amended on September 10, 2008, and February 6, 2016, respectively, are the major rules on foreign investment in telecommunications companies in mainland China. These regulations stipulate that except as otherwise provided by the Ministry of Industry and Information Technology, a foreign investor is prohibited from holding more than 50% of the equity interest in a foreign-invested enterprise that provides value-added telecommunications services, including internet information services. Moreover, such foreign investor shall demonstrate a good track record and experience in operating value-added telecommunications services when a company invested by such foreign investor applies for the value-added telecommunications business operation license from the Ministry of Industry and Information Technology. On March 29, 2022, the Decision of the State Council on Revising and Repealing Certain Administrative Regulations, which took effect on May 1, 2022, was promulgated to amend certain provisions of regulations including the Provisions on the Administration of Foreign-Invested Telecommunications Enterprises (2016 Revision), the requirement for major foreign investor to demonstrate a good track record and experience in operating value-added telecommunications businesses and the review by the MOFCOM were deleted. On April 8, 2024, the Ministry of Industry and Information Technology promulgated the Notice of the Ministry of Industry and Information Technology on the Pilot Program for Expanding the Opening up of Value-added Telecommunications Services to the Outside World. This notice states that in regions authorized to implement the pilot program, the restrictions on specific types of value-added telecommunications businesses will be lifted.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July 13, 2006, the Ministry of Industry and Information Technology issued the Circular on Strengthening the Administration of Foreign Investment in Value-added Telecommunications Services, or the MIIT Circular 2006, which stipulates that (a) foreign investors may only operate a telecommunications business in mainland China through establishing a telecommunications enterprise with a valid telecommunications business operation license; (b) domestic license holders are prohibited from leasing, transferring or selling telecommunications business operation licenses to foreign investors in any form, or providing any resources, sites or facilities to foreign investors to facilitate the unlicensed operation of telecommunications business in mainland China; (c) value-added telecommunications service providers or their shareholders must directly own the domain names and registered trademarks used by such service provider in their daily operations; (d) each value-added telecommunications service provider must have the necessary facilities for its approved business operations and maintain such facilities in the geographic regions covered by its license; and (e) all value-added telecommunications service providers should improve network and information security, enact information safety administration regulations and set up emergency plans to ensure network and information safety. The provincial communications administration bureaus, as local authorities in charge of regulating telecommunications services, may revoke the value-added telecommunications business operation licenses of those that fail to comply with the above requirements and fail to rectify such non-compliance within specified time limits. Due to the lack of any additional interpretation from the regulatory authorities, it remains unclear what impact MIIT Circular 2006 will have on us or the other mainland China internet companies with similar corporate and contractual structures.</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Negative List (2024 Version), foreign investors must refrain from making investment in any of the prohibited sectors specified in the Negative List (2024 Version), any domestic enterprise registered in mainland China engaging in prohibited industries under the negative list shall obtain the consent of the competent PRC authorities for overseas listing, and the foreign investors shall not participate in the Negative List (2024 Version), and operation and management of such enterprise, and the shareholding percentage of the foreign investors in such enterprise shall be subject to the administrative provisions of the domestic securities investment by foreign investors. Such negative list does not further elaborate whether existing overseas listed enterprise will be subject to such requirements. The staff of the NDRC addressed in an interview on December 27, 2021 that certain existing overseas listed enterprises whose foreign investors’ shareholding percentage exceed the aforementioned threshold are not required to make adjustment or deduction. In addition, foreign investors are not allowed to own more than 50% of the equity interests in a value-added telecommunications service provider (excluding e-commerce, domestic multi-party communications, store-and-forward and call center services). Nonetheless, on March 29, 2022, the Decision of the State Council on Revising and Repealing Certain Administrative Regulations, which took effect on May 1, 2022, was promulgated to amend certain provisions of regulations including the Provisions on the Administration of Foreign-Invested Telecommunications Enterprises (2016 Revision), the requirement for major foreign investor to demonstrate a good track record and experience in operating value-added telecommunications businesses and the review by the MOFCOM were deleted.</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comply with such foreign ownership restrictions, we operate our businesses in mainland China through Hexun Huagu, including its subsidiaries, which is owned by mainland China citizens. Hexun Huagu is controlled by the WFOE, our wholly-owned subsidiary, through a series of contractual arrangements. See “Item 4. Information on the Company—C. Organizational Structure.” Based on our PRC legal counsel, Han Kum Law Offices’ understanding of the current laws and regulations of mainland China, our corporate structure complies with all applicable laws and regulations of mainland China in all material respects, and subject to the risks disclosed under “Item 3. Key Information—D. Risk Factors—Risks Related to Our Corporate Structure”, our contractual arrangements are valid and binding on all parties to these arrangements and do not violate current laws or regulations of mainland China. However, we were further advised by our PRC legal counsel that there are substantial uncertainties with respect to the interpretation and application of existing or future laws and regulations of mainland China and whether there will be new rules issued which would establish further requirements and restrictions on our contractual arrangements. Thus, there is no assurance that the PRC governmental authorities would take a view consistent with the opinions of our PRC legal counsel.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Internet Information Services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Administrative Measures on Internet Information Services, issued by the State Council on September 25, 2000 and amended on January 8, 2011 and December 6, 2024, regulate the provision of internet information services. According to these measures, “internet information services” refer to services that provide internet information to online users, and are categorized as either commercial services or non-commercial services. Pursuant to these measures, internet information commercial service providers shall obtain a value-added telecommunications business operation license concerning internet information services from the local authorities before engaging in the provision of any commercial internet information services in mainland China. In addition, if the internet information services involve provision of media, publication, and education that statutorily require approvals from other additional governmental authorities, such approvals must be obtained before applying for this license.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currently hold a valid value-added telecommunications business operation license through the VIE Hexun Huagu, including its subsidiaries, covering the provision of internet information services, issued by Ministry of Industry and Information Technology. Besides, these measures and other measures also ban the internet activities that constitute publication of any content that propagates obscenity, pornography, gambling and violence, incite the commission of crimes or infringe upon the lawful rights and interests of third parties, among others. If an internet information service provider detects information transmitted on their system that falls within the specifically prohibited scope, such provider must terminate such transmission, delete such information immediately, keep records and report to the governmental authorities in charge. Any provider’s violation of these prescriptions will lead to the revocation of its license concerning internet information services and, in serious cases, the shutting down of its internet systems.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 Message Services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Administrative Provisions on Short Message Services issued by the Ministry of Industry and Information Technology on May 19, 2015, which became effective in June 30, 2015, regulate the provisions of short message services. According to the Administrative Provisions on Short Message Services, in case of operation of short message services, a telecommunications business operating license shall be obtained in accordance with the law. The Administrative Provisions on Short Message Services further regulate that (a) short message services refer to the telecommunications services of providing the limited-length information including characters, data, voices and images for the users of such communications terminals as mobile phone and fixed-line telephone via the telecommunications network; (b) short message services providers refer to the telecommunications business operators that render the basic network services relating to sending, storage, forwarding and receipt of short messages and take advantage of basic network facilities and services to offer a platform for sending short messages for other organizations and individuals (including but not limited to, the operators of the basic telecommunications business and the information service business and mobile communications resale business among the value-added telecommunications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Mobile Internet Applications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June 2016, the Cyberspace Administration of China promulgated the Administrative Provisions on Mobile Internet Application Information Services, which was most recently amended on June 14, 2022 and became effective on August 1, 2022. Pursuant to these provisions, a mobile internet app refers to an app software that runs on mobile smart devices to provide users with information services. Mobile internet app providers refer to the owners or operators of mobile internet apps which provide information services. Internet app distribution platforms refer to mobile internet information services providers which provide distribution services related to releasing, downloading and dynamic loading of internet apps.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these provisions, internet app providers shall comply with provisions on the scope of necessary personal information when engaging in personal information processing activities and shall not compel users to agree to non-essential personal information collection or ban users from their basic functional services due to their refusal of providing unnecessary personal information. Internet app providers shall not provide services to the users who fail to submit real identity information or use fraudulent identity information of other organizations or persons for fake registration. Internet app providers shall also establish sound information content review and management mechanism, take sound management measures such as user registration, account management, information review, daily inspection and emergency disposal, and be staffed with professionals and technical ability appropriate to the service scale. Furthermore, internet app providers who launch new technologies, applications or functions with the attribute of public opinion or the capability of social mobilization shall conduct security assessment in accordance with the applicable laws and regulations. If an internet app provider violates these regulations, internet app distribution platforms may issue warnings, suspend the release of its applications, or terminate the sale of its applications, and/or report the violations to governmental authorities, and the application provider may be imposed administrative penalty by the Cyberspace Administration of China and competent authorities in accordance with laws and regulations.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Advertising Business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PRC government regulates advertising, including online advertising, principally through the State Administration for Market Regulation. The PRC Advertising Law, as amended in April 2015, October 2018 and April 2021, outlines the regulatory framework for the advertising industry, and allows foreign investors to own up to all equity interests in mainland China advertising companies.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conduct advertising business through the VIE in mainland China and holds a business license that covers advertising in its business scope.</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Advertisers, advertising operators and advertising distributors are required by the PRC Advertising Law to ensure that the contents of the advertisements they prepare or distribute are true and in full compliance with applicable laws and regulations. For example, pursuant to the PRC Advertising Law, advertisements must not contain, among other prohibited contents, terms such as “the state-level,” “the highest grade,” “the best” or other similar words. In addition, where a special government review is required for certain categories of advertisements before publishing, the advertisers, advertising operators and advertising distributors are obligated to confirm that such review has been performed and the approval has been obtained.</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the above regulations, the Measures for the Administration of Internet Advertising, which came into effect on May 1, 2023, also set forth certain compliance requirements for online advertising businesses. Pursuant to the PRC Advertising Law and these measures, the use of the internet to publish or distribute advertisements shall not affect the normal use of the internet by users, and it is prohibited to insert paid ranking advertisements into the search results of government service websites, webpages, internet applications, public accounts and so on. Particularly, advertisements distributed on internet pages by advertisers or advertising distributors such as pop-up advertisements shall be indicated with a conspicuous mark for “close” to ensure the close of such advertisements by one click.</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Further, the Measures for the Administration of Internet Advertising provide that all online advertisements must be identifiable so that consumers can distinguish them from non-advertisement information. Moreover, these measures require that, among other things, paid ranking advertisements shall be marked “advertisement” prominently by the advertising distributors so that they can be prominently distinguished from normal research results. Without the consent or request of users, or upon users’ explicit refusal, internet advertisements shall not be sent to their vehicles of transport, navigation equipment, intelligent home appliances or otherwise, and no advertisements or links to advertisements shall be attached to any e-mail or internet instant messaging by users. It is not allowed to deceive or mislead users into clicking on or browsing advertisements in any of the following ways: (i) false prompts on system or software updates, error reporting, sorting, notice, etc.; (ii) false signs of display, start, pause, stop, return, etc.; (iii) false reward commitments; and (iv) other methods which deceive or mislead users into clicking on or browsing advertisements. Besides, advertising operators and advertising distributors must establish, improve and implement an undertaking registration, examination and file management system for internet advertising business in accordance with the following provisions: (i) to verify and register information such as the true identity, address and effective contact information of advertisers, set up advertisement files and check and update them on a regular basis, record and keep electronic data in relation to advertising activities for at least three years from the date when the publishing of advertisements ends; (ii) to inspect supporting documents, verify the contents of advertisements, and for advertisements inconsistent with the supporting documentation or with incomplete supporting documents, advertising operators to not provide design, production or agency services, and advertising contributors to not publish such advertisements; and (iii) to provide advertising review personnel familiar with advertising laws and regulations or establish an advertising review institution. When publishing Internet advertisements that contain links, advertisers, advertising operators and advertising contributors should verify the advertising contents in relation to front-end advertisement in the next level of links.</w:t>
      </w:r>
    </w:p>
    <w:p>
      <w:pPr>
        <w:spacing w:after="0" w:line="19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Violation of these regulations may result in penalties, including fines, confiscation of advertising income, and orders to cease dissemination of the advertisements. In the case of serious violations, the State Administration for Market Regulation or its local branches may force the violator to terminate its advertising operation or even revoke its business license. Furthermore, advertisers, advertising operators or advertising distributors may be subject to civil liability if they infringe on the legal rights and interests of third parties. In addition, advertisers, advertising operators and advertising contributors who can prove that they have fulfilled responsibilities, taken measures to prevent the linked advertising contents from being tampered with, and provided the true name, address, and effective contact information of the subject of illegal advertising activities may be given a lighter, mitigated, or no administrative penalty in accordance with laws.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Algorithm and AI</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17, 2021, the Cyberspace Administration of China and eight other authorities jointly promulgated the Notice on Promulgation of the Guiding Opinions on Strengthening the Comprehensive Governance of Algorithm-Related Internet Information Services, which provides that, among others, enterprises shall establish an algorithmic security responsibility system and a technology ethics vetting system, improve the algorithmic security management organization, strengthen risk prevention and control as well as potential danger investigation and governance and improve the capacity to respond to algorithmic security emergencies. Enterprises shall also strengthen their sense of responsibility and assume the main responsibility for the results arising from the application of algorithms.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31, 2021, the Cyberspace Administration of China, the Ministry of Industry and Information Technology, the Ministry of Public Security and the State Administration for Market Regulation jointly issued the Administration Provisions on Algorithmic Recommendation of Internet Information Services, which became effective on March 1, 2022. These provisions stipulate that algorithmic recommendation service providers shall (i) fulfill their responsibilities for algorithm security, (ii) establish and improve management systems for algorithm mechanism examination, ethical vetting in technology, user registration, information release vetting, protection of data security and personal information, anti-telecommunications and internet fraud, security assessment and monitoring, emergency response to security incidents, etc., and (iii) formulate and disclose rules for algorithm recommendation services and be equipped with professional staff and technical support appropriate to the scale of the algorithm recommendation service. The provider of algorithmic recommendation services shall not use the services to (i) engage in any illegal activity which may endanger national security and social public interest, disturb economic and social order, or infringe others’ legitimate rights and interest, or (ii) disseminate any information prohibited by laws or regulations.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25, 2022, the Cyberspace Administration of China, the Ministry of Industry and Information Technology and the Ministry of Public Security jointly issued the Administrative Provisions on the Deep Synthesis of Internet Information Services, or the Deep Synthesis Provisions, which became effective on January 10, 2023. According to these provisions, no organization or individual may use deep synthesis services to produce, reproduce, release or disseminate information prohibited by laws and administrative regulations, or to engage in activities that endanger national security and interests, damage the national image, infringe upon social public interests, disrupt the economic and social order or undermine the legitimate rights and interests of others. Specifically, the providers of deep synthesis services shall, among other things, establish and maintain the management systems for algorithmic mechanism review, data security and personal information protection. Our failure to obtain and maintain requisite licenses or permits or to respond to any changes in policies, laws or regulations may materially and adversely impact our business, financial condition and results of operation.</w:t>
      </w:r>
    </w:p>
    <w:p>
      <w:pPr>
        <w:spacing w:after="0" w:line="32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July 10, 2023, seven governmental authorities including the Cyberspace Administration of China published the Provisional Measures on AI-Generated Content Services, which imposes compliance requirements for providers of generative AI services. These measures provide, among other things, that any provider of generative AI services shall assume its responsibility as a producer of network information contents in accordance with the law and fulfill its obligation of network information security. Besides, providers of generative AI services with attribute of public opinions or capable of social mobilization shall conduct security assessment and complete the formalities for algorithm filing, change or deregistration in accordance with the regulations. Non-compliance with the AIGC Measures may subject the providers of generative-AI services to penalties, including warning, public denouncement, rectification orders and suspension of the provision of services.</w:t>
      </w:r>
    </w:p>
    <w:p>
      <w:pPr>
        <w:spacing w:after="0" w:line="12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September 24, 2024, the State Council of China published the Regulations on Network Data Security Administration, which took effect on January 1, 2025. The Regulations on Network Data Security Administration provides that a network data handler providing generative artificial intelligence services shall strengthen its security management of training data and training data handling activities and take effective measures to prevent and dispose of network data security risks.</w:t>
      </w:r>
    </w:p>
    <w:p>
      <w:pPr>
        <w:spacing w:after="0" w:line="11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Cyberspace Administration of China, the Ministry of Industry and Information Technology, the Ministry of Public Security, and the National Radio and Television Administration issued the Measures for the Identification of AI Generated and Synthesized Content (the “AIGC Identification Measures”) on March 7, 2025, which came into effect on September 1, 2025. The AIGC Identification Measures applies to the identification activities of AI-generated and synthesized content conducted by network information service providers, and pursuant to the AIGC Identification Measures, service providers shall add the explicit or implicit identifications in the generated and synthesized content. Service providers shall clearly explain the methods and styles of identifying generated and synthesized content in their user service agreements and remind users to carefully read and understand the relevant identification management requirements. When performing procedures such as algorithm filing and security assessment, service providers shall provide the materials regarding the identification of generated and synthesized content. The AIGC Identification Measures do not explicitly stipulate the legal consequences or liabilities of non-compliance. Considering the provisions under all related data security laws and regulations, if we fail to comply with the AIGC Identification Measures, the competent authorities could impose various measures including warnings, public notices of criticism, or orders to rectify the non-compliance within a specified period. In cases of refusal to rectify or in the event of serious violations, the authorities retain the power to order a suspension of the relevant business activities.</w:t>
      </w:r>
    </w:p>
    <w:p>
      <w:pPr>
        <w:spacing w:after="0" w:line="3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See “Item 3. Key Information—D. Risk Factors—Risks Related to Our Business and Industry—The AI industry is subject to evolving and extensive regulations, the adoption and use of artificial intelligence in our product offerings may subject us to potential infringement claims and increase our regulatory compliance costs.”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Information Security</w:t>
      </w:r>
    </w:p>
    <w:p>
      <w:pPr>
        <w:spacing w:after="0" w:line="14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PRC government has enacted laws and regulations with respect to internet information security. Internet information in mainland China is regulated and restricted from a national security standpoint. On December 28, 2000, the Standing Committee of the National People’s Congress enacted the Decision on the Protection of Internet Security, as amended on August 27, 2009, which impose criminal penalties for any effort to: (i) gain improper entry into a computer or system of strategic importance; (ii) disseminate politically disruptive information; (iii) leak state secrets; (iv) spread false commercial information; or (v) infringe intellectual property rights. In addition, the Ministry of Public Security has promulgated the Administrative Measures on Security Protection for International Connections to Computer Information Networks on December 16, 1997, and amended it on January 8, 2011, prohibiting use of the internet in ways which result in a leak of state secrets or a spread of socially destabilizing content, among other things. If an internet information service provider violates any of these measures, competent authorities may revoke its operating license and shut down its websites.</w:t>
      </w:r>
    </w:p>
    <w:p>
      <w:pPr>
        <w:spacing w:after="0" w:line="1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Cyber Security Law of mainland China, which was promulgated on November 7, 2016, and took effect on June 1, 2017, requires a network operator, including internet information services providers among others, to adopt technical measures and other necessary measures in accordance with applicable laws and regulations as well as compulsory national and industrial standards to safeguard the safety and stability of network operations, effectively respond to network security incidents, prevent illegal and criminal activities, and maintain the integrity, confidentiality and availability of network data. The Cyber Security Law of mainland China emphasizes that any individuals and organizations that use networks must not endanger network security or use networks to engage in unlawful activities such as those endangering national security, economic order and the social order or infringing the reputation, privacy, intellectual property rights and other lawful rights and interests of others. Any violation of the provisions and requirements under the Cyber Security Law of mainland China may subject an internet service provider to warnings, fines, confiscation of illegal gains, revocation of licenses, cancellation of filings, closedown of websites or even criminal liabilities.</w:t>
      </w:r>
    </w:p>
    <w:p>
      <w:pPr>
        <w:spacing w:after="0" w:line="19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On August 20, 2021, the Standing Committee of the National People’s Congress promulgated the Personal Information Protection Law, which integrates the scattered rules with respect to personal information rights and privacy protection and took effect on November 1, 2021. This law aims at protecting the personal information rights and interests, regulating the processing of personal information, ensuring the orderly and free flow of personal information in accordance with the law, and promoting the reasonable use of personal information. Personal information, as defined in the Personal Information Protection Law, refers to information related to identified or identifiable natural persons and recorded by electronic or other means, but excluding the anonymized information. This law provides the circumstances under which a personal information processor could process personal information, which include but not limited to, where the consent of the individual concerned is obtained and where it is necessary for the conclusion or performance of a contract to which the individual is a contractual party. It also stipulates certain specific rules with respect to the obligations of a personal information processor, such as to inform the purpose and method of processing to the individuals, and the obligation of the third party who has access to the personal information by way of co-processing or delegation. The PRC Data Security Law, which was promulgated by the Standing Committee of the National People’s Congress on June 10, 2021, and took effect on September 1, 2021, requires data processing (which includes the collection, storage, use, processing, transmission, provision, publication of data, etc.) to be conducted in a legitimate and proper manner. The PRC Data Security Law provides for data security and privacy obligations on entities and individuals carrying out data activities. The PRC Data Security Law also introduces a data classification and hierarchical protection system based on the importance of data in economic and social development, and the degree of harm it shall cause to national security, public interests, or legitimate rights and interests of individuals or organizations if such data are tampered with, destroyed, leaked, illegally acquired or illegally used. The appropriate level of protection measures is required to be taken for each respective category of data. For example, a processor of important data is required to designate the personnel and the management body responsible for data security, carry out risk assessments of its data processing activities and file the risk assessment reports with the competent authorities. Moreover, the PRC Data Security Law provides a national security review procedure for those data activities which may affect national security and imposes export restrictions on certain data and information.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28, 2021, the Cyberspace Administration of China and several other regulatory authorities in mainland China jointly promulgated the Measures for Cybersecurity Reviews, which came into effect on February 15, 2022. Pursuant to these measures,</w:t>
      </w:r>
    </w:p>
    <w:p>
      <w:pPr>
        <w:jc w:val="both"/>
        <w:ind w:firstLine="8"/>
        <w:spacing w:after="0" w:line="251" w:lineRule="auto"/>
        <w:tabs>
          <w:tab w:leader="none" w:pos="21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activity affects or may affect national security, a critical information infrastructure operator that purchases network products and services, or an internet platform operator that conducts data process activities, shall be subject to the cybersecurity review, (ii) an application for cybersecurity review shall be made by an issuer who is an internet platform operator holding personal information of more than one million users before such issuer applies to list its securities on a foreign stock exchange, and (iii) governmental authorities in the mainland China may initiate cybersecurity review if they determine an operator’s network products or services or data processing activities affect or may affect national security. Namely, the scope of review under the measures extend to critical information infrastructure operators, online platform operators carrying out data processing activities, and national security risks related to a non-domestic listing, especially the “risks of core data, important data or substantial personal information being stolen, leaked, damaged, illegally used or exported; risks of Critical Information Infrastructure, core data, important data or substantial personal information data being affected, controlled and maliciously used by foreign governments after a foreign listing.”</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7, 2022, the Cyberspace Administration of China promulgated the Measures on Security Assessment of Cross-border Data Transfer which became effective on September 1, 2022. These measures require that any data processor which processes or exports personal information exceeding certain volume threshold under such measures shall apply for security assessment by the Cyberspace Administration of China before transferring any personal information abroad, including the following circumstances: (i) important data will be provided overseas by any data processor; (ii) personal information will be provided overseas by any operator of critical information infrastructure or any data processor who processes the personal information of more than 1,000,000 individuals; (iii) personal information will be provided overseas by any data processor who has provided the personal information of more than 100,000 individuals in aggregate or has provided the sensitive personal information of more than 10,000 individuals in aggregate since January 1 of last year; and (iv) other circumstances where the security assessment is required as prescribed by the Cyberspace Administration of China. A data processor shall, before applying for the security assessment of an outbound data transfer, conduct a self-assessment of the risks in the outbound data transfer. The security assessment of a cross-border data transfer shall focus on assessing risks that may be brought about by the cross-border data transfer to national security, public interests, or the lawful rights and interests of individuals or organizations.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24, 2024, the State Council of China published the Regulations on Network Data Security Administration, which took effect on January 1, 2025. The Regulations on Network Data Security Administration provides that data processing operators engaging in network data processing activities that affect or may affect national security must be subject to network data security review by the relevant cyberspace administration of the PRC. Network data processing activities refer to the collection, retention, use, processing, transmission, provision, disclosure, deletion, and other activities of network data. “Network data processing activities” refer to the collection, retention, use, processing, transmission, provision, disclosure, deletion, and other activities of network data. However, the Regulations on Network Data Security Administration provides no further explanation or interpretation as to how to determine what “may affect national security.”</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VIE, Hexun Huagu, including its subsidiaries, is an internet information services provider, and is therefore subject to the regulations relating to information security. The VIE has adopted data security, data recovery and backup measures to comply with these regulations and holds valid information security management system certificate of conformity (ISO 27001 certification). See “Item 3. Key Information—D. Risk Factors—Risks Related to Our Business and Industry—Our and the VIE’s business generates and processes a large amount of data, and we and the VIE are required to comply with PRC and other applicable laws relating to privacy and cybersecurity. The improper use or disclosure of data could have a material and adverse effect on our business and prospects” and “— Security and privacy breaches may hurt our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Personal Information Protection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December 2012, the Standing Committee of the National People’s Congress promulgated the Decision on Strengthening Network Information Protection to enhance the legal protection of information security and privacy on the internet. The decision also requires internet operators to take measures to ensure confidentiality of information of users. In July 2013, the Ministry of Industry and Information Technology promulgated the Provisions on Protection of Personal Information of Telecommunication and Internet Users to regulate the collection and use of users’ personal information in the provision of telecommunication service and internet information service in mainland China. In August 2015, the Standing Committee of the National People’s Congress promulgated the Ninth Amendment to the Criminal Law, which became effective in November 2015 and amended the standards of crime of infringing citizens’ personal information and reinforced the criminal culpability of unlawful collection, transaction, and provision of personal information. It further provides that any network service provider that fails to fulfill the obligations related to internet information security administration as required by applicable laws and refuses to rectify upon orders will be subject to criminal liability. In November 2016, the Standing Committee of the National People’s Congress promulgated the Cyber Security Law of mainland China, which requires, among others, that network operators take security measures to protect the network from unauthorized interference, damage and unauthorized access and prevent data from being divulged, stolen or tampered with. Network operators are also required to collect and use personal information in compliance with the principles of legitimacy, properness and necessity, and strictly within the scope of authorization by the subject of personal information unless otherwise prescribed by laws or regulations. The Civil Code promulgated in 2020 also provides specific provisions regarding the protection of personal information. On October 28, 2025, the Cyberspace Administration of China issued a decision on the amendments to the PRC Cybersecurity Law, which became effective on January 1, 2026. The amendments introduce stricter legal liabilities for specific violations. For example, violations of cybersecurity management obligations are now subject to more severe penalties. The amended Cybersecurity Law also increases the punishment against personal information infringement by aligning penalties with those established under other applicable laws, including the Personal Information Protection Law and the Data Security Law.</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30, 2021, the State Council promulgated the Provisions on the Security Protection of Critical Information Infrastructure, which became effective on September 1, 2021. According to these provisions, a critical information infrastructure refers to an important network facility or information system in important industries and fields such as public communication and information services, energy, transportation, water conservancy, finance, public services, e-government, and national defense technology industry, among others. Critical information infrastructure also refers to other important network facilities and information systems that may seriously endanger national security, national economy, people’s livelihood, and public interests in the event of damage, loss of function, or data leakage. The competent departments and supervision and management departments of the aforementioned important industries and fields are the departments responsible for the critical information infrastructure security protection work. They will be responsible for organizing the identification of Critical Information Infrastructures in their respective industries or fields in accordance with the identification rules, promptly notifying the critical information infrastructure operators of the identification results, and notifying the public security department of the State Council.</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Standing Committee of the National People’s Congress promulgated the Personal Information Protection Law of the PRC on August 20, 2021, which entered into force on November 1, 2021. According to this law, personal information refers to all kinds of information, recorded by electronic or other means, that is related to identified or identifiable natural persons, but excludes anonymized information. Personal information handling should follow the principles of legality, rightness, necessity, and integrity. Moreover, this law specifies the rules for handling sensitive personal information, which refers to personal information that, once leaked or illegally used, may easily cause harm to the dignity of natural persons or cause grave harm to personal or property security, including biometric characteristics, financial accounts, individual location tracking, and personal information of minors under the age of 14, among others. Personal information handlers shall bear the responsibility for their personal information handling activities, and adopt necessary measures to safeguard the personal information they handle. Otherwise, the personal information handlers will be ordered to correct their behaviors, or suspend or terminate the provision of services, and may be subject to confiscation of illegal income, fines or other penalties.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12, 2025, Cyberspace Administration of China promulgated the Administrative Measures for Personal Information Protection Compliance Audits, which came into effective on May 1, 2025. The measure provide that any personal information processor handling the personal information of more than 10 million people shall carry out the personal information protection compliance audits at least once every two years. In addition, for a personal information processor who falls under any of the following circumstances, the Cyberspace Administration of China and other authorities performing responsibilities of personal information protection may require the personal information processor to entrust a specialized agency with the compliance audit of its personal information handling activities:</w:t>
      </w:r>
    </w:p>
    <w:p>
      <w:pPr>
        <w:spacing w:after="0" w:line="5" w:lineRule="exact"/>
        <w:rPr>
          <w:sz w:val="20"/>
          <w:szCs w:val="20"/>
          <w:color w:val="auto"/>
        </w:rPr>
      </w:pPr>
    </w:p>
    <w:p>
      <w:pPr>
        <w:jc w:val="both"/>
        <w:ind w:firstLine="8"/>
        <w:spacing w:after="0" w:line="253" w:lineRule="auto"/>
        <w:tabs>
          <w:tab w:leader="none" w:pos="25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its personal information handling activities involve relatively large risks such as serious impact on personal rights and interests or serious lack of security measures; (2) where its personal information handling activities may infringe upon the rights and interests of many people; or (3) where a personal information security incident occurs, resulting in the divulgence, tampering with, loss or damage of the personal information of more than one million people or the sensitive personal information of more than 100,000 people.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October 16, 2023, the State Council promulgated the Regulation on Protection of Minors in Cyberspace, which came into effect on January 1, 2024. The Regulation on Protection of Minors in Cyberspace provides that personal information processors shall strictly abide by the provisions of the Cyberspace Administration of China and relevant authorities on the scope of necessary personal information for cyber products and services, and shall not compel minors or their guardians to consent to non-necessary personal information processing, nor shall they refuse minors to use their basic functional services because the minors or their guardians do not agree to handle non-necessary personal information of minors or withdraw their consent and a personal information processor shall conduct by itself or entrust a specialized agency to conduct audit of its compliance with laws and administrative regulations in the processing of the personal information of minors every year, and report the audit information to the cyberspace administration and other authorities in a timely manner. On December 29, 2025, Cyberspace Administration of China issued the Announcement on the Submission of Compliance Audit Results for the Protection of Personal Information of Minors, mandating that personal information processors that process the personal information of minors shall, by the end of January each year, submit the compliance audit results for the protection of personal information of minors for the previous year.</w:t>
      </w:r>
    </w:p>
    <w:p>
      <w:pPr>
        <w:spacing w:after="0" w:line="1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an internet information services provider, the VIE, Hexun Huagu, including its subsidiaries, is subject to these laws and regulations relating to protection of personal information. The VIE has adopted a series of measures in order to comply with laws and regulations relating to the protection of personal information. It enters into a service agreement with each app developer that uses our developer services in their mobile apps and displays privacy policies on its official website. The service agreement as well as the privacy policies require each app developer to obtain consent from the end users of its apps in connection with data collection and use pursuant to the Cyber Security Law of mainland China and related laws and regulations. We periodically check the app developers’ own agreements with their end users on a sampling basis, and we remind the app developers to rectify the situation where we find instances of non-compliance with the service agreements with the VIE. Moreover, once the original mobile behavioral data is collected through developer services, our data processing platform immediately stores, cleanses, structures and encrypts the data, and we then utilize AI and machine learning technologies to conduct modeling exercises and data mining and develop SAAS Businesses that offer industry-specific, actionable insights for customers, in aggregated and anonymized form. In addition, we have adopted rigorous data security measures to prevent our data from unauthorized access or use or being retrieved to establish any connection with the device owners’ identities. While we take all these measures to comply with all applicable data privacy and protection laws and regulations, we cannot guarantee the effectiveness of the measures undertaken by us, app developers and business partners. See “Item 3. Key Information—D. Risk Factors— Risks Related to Our Business and Industry—Our and the VIE’s business generates and processes a large amount of data, and we and the VIE are required to comply with PRC and other applicable laws relating to privacy and cybersecurity. The improper use or disclosure of data could have a material and adverse effect on our and the VIE’s business and prospects.”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Privacy Protection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PRC Constitution states that the laws of mainland China protect the freedom and privacy of communications of citizens and prohibits infringement of these rights. In recent years, PRC government authorities have enacted laws and regulations on internet use to protect personal information from any unauthorized disclosure and use.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Several Provisions on Regulating the Market Order of Internet Information Service issued by the Ministry of Industry and Information Technology in December 2011 and took effect on March 15, 2012, an internet information service operator cannot collect any user personal information or provide any such information to third parties without the consent of such user. An internet information service operator must expressly inform each user of the method, content and purpose of the collection and processing of such user’s personal information and may only collect such information necessary for the provision of its services. An internet information service operator is also required to properly maintain the user personal information, and in case of any leak or potential leak of the user personal information, the internet information service operator must take immediate remedial measures and, in severe circumstances, make an immediate report to the telecommunication regulatory authority.</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Decision on Strengthening Network Information Protection issued by the Standing Committee of the PRC National People’s Congress on December 28, 2012 and the Provisions on Protection of Personal Information of Telecommunication and Internet Users issued by the Ministry of Industry and Information Technology on July 16, 2013, any collection and use of user personal information must be subject to the consent of the user, abide by the principles of legality, rationality and necessity and be within the specified purposes, methods and scopes. “Personal information” is defined in these regulations as information that identifies a citizen, the time or location for his use of telecommunication and internet services, or involves privacy of any citizen such as his name, birth date, ID card number, address, telephone number, accounts and passwords. An internet services provider must also keep information collected strictly confidential, and is further prohibited from divulging, tampering or destroying of any such information, or selling or providing such information to other parties. Any violation of the above decision or order may subject the internet service provider to warnings, fines, confiscation of illegal gains, revocation of licenses, cancellation of filings, closedown of websites or even criminal liabilities.</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Ninth Amendment to the PRC Criminal Law issued by the Standing Committee of the PRC National People’s Congress in August 2015, which became effective in November 2015, any internet service provider that fails to fulfill the obligations related to internet information security administration as required by applicable laws and refuses to rectify upon orders, shall be subject to criminal penalty for the result of (i) any dissemination of illegal information in large scale; (ii) any severe effect due to the leakage of the client’s information; (iii) any serious loss of criminal evidence; or (iv) other severe situation, and any individual or entity that (i) sells or provides personal information to others in a way violating the applicable law, or (ii) steals or illegally obtains any personal information, shall be subject to criminal penalty in severe situation.</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To further regulate cyber security and privacy protection, the Cyber Security Law of mainland China, which entered into force on June 1, 2017, with its latest amendments taking effect on January 1, 2026, provides that: (i) to collect and use personal information, network operators shall follow the principles of legitimacy, rightfulness and necessity, disclose their rules of data collection and use, clearly express the purposes, means and scope of collecting and using the information, and obtain the consent of the persons whose data is gathered; (ii) network operators shall neither gather personal information unrelated to the services they provide, nor gather or use personal information in violation of the provisions of laws and administrative regulations or the scopes of consent given by the persons whose data is gathered; and shall dispose of personal information they have saved in accordance with the provisions of laws and administrative regulations and agreements reached with users; (iii) network operators shall not divulge, tamper with or damage the personal information they have collected, and shall not provide the personal information to others without the consent of the persons whose data is collected. However, if the information has been processed and cannot be recovered and thus it is impossible to match such information with specific persons, such circumstance is an exception. According to the Cyber Security Law of mainland China, personal information refers to all kinds of information recorded by electronic or otherwise that can be used to independently identify or be combined with other information to identify natural persons’ personal information including but not limited to: natural persons’ names, dates of birth, ID numbers, biologically identified personal information, addresses and telephone numbers, etc. Any internet information services provider that violates these privacy protection requirements under the Cyber Security Law of mainland China and related laws and regulations may be ordered to turn in illegal gains generated from unlawful operations and pay a fine of no less than one but no more than ten times the illegal gains, and may be ordered to cease the business operations where the circumstances are serious. On October 28, 2025, the Cyberspace Administration of China issued a decision on the amendments to the PRC Cybersecurity Law, which became effective on January 1, 2026. The amendments introduce stricter legal liabilities for specific violations. For example, violations of cybersecurity management obligations are now subject to more severe penalties. The amended Cybersecurity Law also increases the punishment against personal information infringement by aligning penalties with those established under other applicable laws, including the Personal Information Protection Law and the Data Security Law.</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January 23, 2019, the Cyberspace Administration of China and three other governmental authorities jointly issued the Circular on the Special Campaign of Correcting Unlawful Collection and Usage of Personal Information via Apps. Pursuant to this circular, (i) app operators are prohibited from collecting any personal information irrelevant to the services provided by such operator;</w:t>
      </w:r>
    </w:p>
    <w:p>
      <w:pPr>
        <w:spacing w:after="0" w:line="1" w:lineRule="exact"/>
        <w:rPr>
          <w:sz w:val="20"/>
          <w:szCs w:val="20"/>
          <w:color w:val="auto"/>
        </w:rPr>
      </w:pPr>
    </w:p>
    <w:p>
      <w:pPr>
        <w:jc w:val="both"/>
        <w:ind w:firstLine="8"/>
        <w:spacing w:after="0" w:line="251" w:lineRule="auto"/>
        <w:tabs>
          <w:tab w:leader="none" w:pos="2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collection and usage policy should be presented in a simple and clear way, and such policy should be consented by the users voluntarily; and (iii) authorization from users should not be obtained by coercing users with default or bundling clauses or making consent a condition of a service. App operators violating such rules may be ordered by authorities to correct their incompliance within a specified period of time, be reported to the general public, or even be ordered to cease their operation or have their business license or operational permits revoked. In addition, the Provisions on the Cyber Protection of Children’s Personal Information issued by the Cyberspace Administration of China came into effect on October 1, 2019, which requires, among others, that network operators who collect, store, use, transfer and disclose personal information of children under the age of 14 establish special rules and user agreements for the protection of children’s personal information, inform the children’s guardians in a noticeable and clear manner, and shall obtain the consent of the children’s guardians. Furthermore, the authorities issuing the circular has pledged to initiate a campaign to correct unlawful collection and usage of personal information via apps from January 2019 through December 2019.</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November 28, 2019, the Secretary Bureau of the Cyberspace Administration of China together with other three agencies jointly promulgated the Identification Methods of Illegal Collection and Use of Personal Information through Apps, which provides guidance for regulators to identify the illegal collection and use of personal information through mobile apps, and for app operators to operate self-assessment and correction of incompliance. These methods outline specific practices that may be identified as six circumstances, including but not limited to, collecting or using personal information without the consent of end users, and providing others with personal information without the consent of end users. According to these methods, nine types of practices may be identified as collecting or using personal information without the consent of end users, including (i) commencing the collection of personal information or opening the authority to collect personal information before obtaining the consent of users, (ii) collecting personal information or opening the authority to collect personal information after receiving the user’s disagreement or asking for the user’s consent frequently while interfering with the normal use of a user, (iii) collecting personal information or opening the authority for collectable personal information beyond the scope of users’ authorization, (iv) obtaining the users’ consent by non-express means, (v) changing the authority status for collection of personal information set by a user without the user’s consent, (vi) utilizing users’ personal information and algorithms to push information from targeted sources, but failing to provide options for non-targeted push information,</w:t>
      </w:r>
    </w:p>
    <w:p>
      <w:pPr>
        <w:spacing w:after="0" w:line="1" w:lineRule="exact"/>
        <w:rPr>
          <w:sz w:val="20"/>
          <w:szCs w:val="20"/>
          <w:color w:val="auto"/>
        </w:rPr>
      </w:pPr>
    </w:p>
    <w:p>
      <w:pPr>
        <w:jc w:val="both"/>
        <w:ind w:firstLine="8"/>
        <w:spacing w:after="0" w:line="251" w:lineRule="auto"/>
        <w:tabs>
          <w:tab w:leader="none" w:pos="38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misleading users into agreeing to collect personal information or open the authority to collect personal information by fraud, deception or other improper means, (viii) failing to provide users with channels and methods for withdrawing consent to collect personal information, and (ix) collecting and using personal information in violation of its stated collection and use rules; three types of practices may be identified as providing others with personal information without the consent of a user, including: (i) an app directly providing personal information for a third party without the consent of a user and without anonymization, (ii) an app providing a third party with the personal information it has collected after the data is transmitted to the background server of the app without the consent of a user and without anonymization, and (iii) an app that is linked with a third-party application providing personal information to the third-party application without the consent of users.</w:t>
      </w:r>
    </w:p>
    <w:p>
      <w:pPr>
        <w:spacing w:after="0" w:line="11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May 28, 2020, the PRC National People’s Congress approved the Civil Code of the of mainland China or the Civil Code, which came into effect on January 1, 2021. Pursuant to the Civil Code, the personal information of a natural person shall be protected by the laws. Any organization or individual that needs to obtain personal information of others shall obtain such information legally and ensure the safety of such information, and shall not illegally collect, use, process or transmit personal information of others, or illegally purchase or sell, provide or make public personal information of others. Furthermore, information processors shall not divulge or tamper with personal information collected or stored by them; without the consent of a natural person, information processors shall not illegally provide personal information of such person to others, except for information that has been processed so that specific persons cannot be identified and that cannot be restored. In addition, an information processor shall take technical measures and other necessary measures to ensure the security of the personal information that is collected and stored and to prevent the information from being divulged, tampered with or lost; where personal information has been or may be divulged, tampered with or lost, the information processor shall take remedial measures in a timely manner, inform the natural person concerned in accordance with the provisions and report the case to the competent department.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12, 2021, the Cyberspace Administration of China and three other authorities jointly issued the Rules on the Scope of Necessary Personal Information for Common Types of Mobile Internet Applications, which became effective on May 1, 2021. The Rules specifies the scope of necessary personal information to be collected each for a variety of common mobile internet applications, such as maps and navigation apps, online ride-hailing apps, instant messaging apps, online community apps. Operators of such apps shall not refuse to provide basic services to users on the ground of users’ refusal to provide their personal non-essential information. On April 26, 2021, the Ministry of Industry and Information Technology issued the Interim Administrative Provisions on Personal Information Protection in Internet Mobile Applications (Draft for Comment). The draft of the Interim Administrative Provisions on Personal Information Protection in Internet Mobile Applications sets forth two principles of collection and utilization of personal information, namely “explicit consent” and “minimum necessity.”</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And the legislation construction of personal information protection has sped up, on August 20, 2021, the Standing Committee of the National People’s Congress adopted the Personal Information Protection Law which took effect on November 1, 2021. This law requires, among others, that (i) the processing of personal information should have a clear and reasonable purpose which should be directly related to the processing purpose, in a method that has the least impact on personal rights and interests, and (ii) the collection of personal information should be limited to the minimum scope necessary to achieve the processing purpose to avoid the excessive collection of personal information. Different types of personal information and personal information processing will be subject to various rules on consent, transfer, and security. Entities handling personal information shall bear responsibilities for their personal information handling activities, and adopt necessary measures to safeguard the security of the personal information they handle. The entities failing to comply could be ordered to correct, or suspend or terminate the provision of services, and face confiscation of illegal income, fines or other penalties.</w:t>
      </w:r>
    </w:p>
    <w:p>
      <w:pPr>
        <w:spacing w:after="0" w:line="11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6, 2023, the Ministry of Industry and Information Technology issued the Notice on Further Improving the Service Capability of Mobile Internet Apps. The notice requires further enhancement of the service capability of mobile internet apps and reiterates the need to protect the legitimate rights and interests of the users and create a healthy service ecology. Specifically, the notice emphasizes, among other things, the regulation of installation and unloading activities, the optimization of service experience, strengthening personal information protection, responding to users’ demands and the implementation of responsibilities of the developer and operator of mobile apps.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September 15, 2025, the Cyberspace Administration of China announced the Administrative Measures for the Reporting of National Cybersecurity Incidents (the “Cybersecurity Incidents Reporting Measures”), which became effective on November 1, 2025. Pursuant to the Cybersecurity Incidents Reporting Measures, network operators that build, operate networks or provide services through networks within the territory of the PRC shall report incidents that endanger cybersecurity in accordance with the Cybersecurity Incidents Reporting Measures. The Cybersecurity Incidents Reporting Measures and the accompanied Classification and Categorization Guide for Cybersecurity Incidents classify cybersecurity incidents into four levels: general, relatively serious, material or extremely material. Ordinary network operators (other than critical information infrastructure operators) shall report incidents that are relatively serious or above to the cyberspace administration at the provincial level of their locality within four hours. Network operators may submit their reports through the 12387 hotline, website, e-mail, fax or other channels. Where an operator fails to fulfil its reporting obligations under the Cybersecurity Incidents Reporting Measures, or delays or omits any report, gives inaccurate account in reporting or conceals cybersecurity incidents and thereby causes material harmful consequences, the cyberspace administration will impose heavier penalties on the operator and the relevant liable persons in accordance with applicable law; operators that have adopted reasonable protective measures and reported in a timely manner as required may be subject to lighter or mitigated penalties, or be exempted from penalties.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an internet information services provider, the VIE, Hexun Huagu, including its subsidiaries, is subject to these laws and regulations relating to protection of personal information. Although the VIE only gains access to anonymous device-level mobile behavioral data that is necessary for, and relevant to, the services provided, and the data we obtain and use may include information that is deemed as “personal information” under the Cyber Security Law of mainland China and related data privacy and protection laws and regulations. The VIE has adopted a series of measures in order to comply with laws and regulations relating to the protection of personal information. It enters into a service agreement with each app developer that uses our developer services in their mobile apps and displays privacy policies on its official website. The service agreement as well as the privacy policies require each app developer to obtain consent from the end users of its apps in connection with data collection and use pursuant to the Cyber Security Law of mainland China and related laws and regulations. We periodically check the app developers’ own agreements with their end users on a sampling basis, and we remind the app developers to rectify the situation where we find instances of non-compliance with the service agreements with the VIE. Moreover, once the original mobile behavioral data is collected through developer services, our data processing platform immediately stores, cleanses, structures and encrypts the data, and we then utilize AI and machine learning technologies to conduct modeling exercises and data mining and develop SAAS Businesses that offer industry-specific, actionable insights for customers, in aggregated and anonymized form. In addition, we have adopted rigorous data security measures to prevent our data from unauthorized access or use or being retrieved to establish any connection with the device owners’ identities. While we take all these measures to comply with all applicable data privacy and protection laws and regulations, we cannot guarantee the effectiveness of the measures undertaken by us, app developers and business partners. See “Item 3. Key Information—D. Risk Factors—Risks Related to Our Business and Industry—Our and the VIE’s business generates and processes a large amount of data, and we and the VIE are required to comply with PRC and other applicable laws relating to privacy and cybersecurity. The improper use or disclosure of data could have a material and adverse effect on our and the VIE’s business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Foreign-related Investigation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13, 2004, the National Bureau of Statistics promulgated the Measures on the Administration of Foreign-related Investigations, to regulate and administrate the foreign-related investigations. According to the Measures on the Administration of Foreign-related Investigations, no individual and no organization without a foreign-related investigation license may conduct any foreign-related investigation in any form, and foreign-related investigations include: (i) market and social investigations conducted under the entrustment or financial aid of any foreign organization, individual or the agency in the mainland China of any foreign organization;</w:t>
      </w:r>
    </w:p>
    <w:p>
      <w:pPr>
        <w:spacing w:after="0" w:line="3" w:lineRule="exact"/>
        <w:rPr>
          <w:sz w:val="20"/>
          <w:szCs w:val="20"/>
          <w:color w:val="auto"/>
        </w:rPr>
      </w:pPr>
    </w:p>
    <w:p>
      <w:pPr>
        <w:jc w:val="both"/>
        <w:ind w:firstLine="8"/>
        <w:spacing w:after="0" w:line="253" w:lineRule="auto"/>
        <w:tabs>
          <w:tab w:leader="none" w:pos="28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social investigations conducted in cooperation with any foreign organization, individual or the agency in the mainland China of any foreign organization; (iii) market investigations lawfully conducted by the agency in the mainland China of any foreign organization; and (iv) market and social investigations of which the materials and results are to be provided to any foreign organization, individual or the agency in the mainland China of any foreign organization.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VIE, Hexun Huagu, including its subsidiaries, provides mobile app data analysis product to both domestic and foreign financial industry clients. Except for the general descriptions of market and social investigation defined in the laws or regulations of mainland China, there is no further clarification or specific guidance on the characteristics and scope of “foreign-related investigations.” Due to the lack of further interpretation of the rules, it is uncertain whether the VIE is required to obtain a license for our business. To be prudent, the VIE obtained a foreign-related investigation license in April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Anti-Monopoly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Anti-Monopoly Law took effect on August 1, 2008, and was amended on June 24, 2022. Before the institutional reform plan of the State Council approved by the National People’s Congress on March 17, 2018, the NDRC, the State Administration for Industry and Commerce and the Ministry of Commerce were the three of mainland China anti-monopoly enforcement authorities and the NDRC and the State Administration for Industry and Commerce, had in recent years strengthened enforcement actions, including levying significant fines, with respect to cartel activity as well as abusive behavior of companies having market dominance. According to the reform plan, the anti-monopoly functions performed by the NDRC, the State Administration for Industry and Commerce, and the Ministry of Commerce were consolidated into the State Administration for Market Regulation, which may place a profound impact on the anti-monopoly law of mainland China enforcement practice. In November, 2021, the National Anti-monopoly Bureau was inaugurated by the State Council, which aims to further implement the fair competition policies, and strengthen anti-monopoly supervision in the mainland China, especially to strengthen oversight and law enforcement in areas involving platform economy, innovation, science and technology, information security and people’s livelihood.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on February 3, 2011, the General Office of the State Council promulgated a Notice on Establishing the Security Review System for Mergers and Acquisitions of Domestic Enterprises by Foreign Investors, or Circular 6, which officially established a security review system for mergers and acquisitions of domestic enterprises by foreign investors. Further, on August 25, 2011, Ministry of Commerce promulgated the Regulations on Implementation of Security Review System for the Merger and Acquisition of Domestic Enterprises by Foreign Investors, which became effective on September 1, 2011, to implement Circular 6. Under Circular 6, a security review is required for mergers and acquisitions by foreign investors having “national defense and security” concerns and mergers and acquisitions by which foreign investors may acquire the “de facto control” of domestic enterprises with “national security” concerns. Under the Regulations on Implementation of Security Review System for the Merger and Acquisition of Domestic Enterprises by Foreign Investors, Ministry of Commerce will focus on the substance and actual impact of the transaction when deciding whether a specific merger or acquisition is subject to security review. If Ministry of Commerce decides that a specific merger or acquisition is subject to security review, it will submit it to the Inter-Ministerial Panel, an authority established under the Circular 6 led by the NDRC, and Ministry of Commerce under the leadership of the State Council, to carry out the security review. The regulations prohibit foreign investors from bypassing the security review by structuring transactions through trusts, indirect investments, leases, loans, control through contractual arrangements or offshore transactions.</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Anti-Monopoly Law also provides a private right of action for competitors or users to bring anti-monopoly claims against companies. In recent years, an increased number of companies have been exercising their right to seek relief under the Anti-Monopoly Law. As public awareness of the rights under the Anti-Monopoly Law increases, more companies, including our competitors, business partners and customers, may resort to the remedies under the law to improve their competitive position, regardless of the merits of their claims. The Anti-Monopoly Law provides that the State Council anti-monopoly enforcement agency may order the operators to stop the implementation of the concentration, to dispose of shares, assets, and the business within a period of time, or take other necessary measures to restore the state before the concentration, and impose a fine up to 10% of the sales revenue of the previous year, if operators have implemented the concentration and have or may have the effect of excluding or limiting competition. And a fine up to RMB5,000,000 may be imposed on operators if the concentration does not have the effect of excluding or limiting competition.</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7, 2021, the Anti-Monopoly Committee of the State Council promulgated the Anti-monopoly Guidelines for the Platform Economy Sector, aiming to improve anti-monopoly administration on online platforms. This guideline, operating as the compliance guidance under the existing anti-monopoly regulatory regime of mainland China for platform economy operators, specifically prohibits certain acts of the platform economy operators that may have the effect of eliminating or limiting market competition, such as concentration of undertakings.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On March 10, 2023, the State Administration for Market Regulation promulgated four supporting regulations of the Anti-Monopoly Law, including the Review Measures of Concentration of Undertakings, the Provisions on the Prohibition of Monopoly Agreements, the Provisions on the Prohibitions of Acts of Abuse of Dominant Market Positions, and the Provisions on Curbing the Abuse of Administrative Power to Exclude or Restrict Competition, which took effective on April 15, 2023. Subsequently, the Provisions on the Prohibition of Monopoly Agreements were amended and promulgated on December 9, 2025, and the Provisions on Curbing the Abuse of Administrative Power to Exclude or Restrict Competition were amended and promulgated on December 18, 2025, both of which took effect on February 1, 2026. Besides, the Provisions on the Threshold of Filings for Undertaking Concentrations issued by the State Council in 2008, with its latest amendment on January 22, 2024, further adjusts the filing threshold for concentration of undertaking as, during the previous fiscal year, (i) the total global turnover of all operators participating in the transaction exceeded RMB12 billion in the preceding fiscal year and at least two of these operators each had a turnover of more than RMB800 million within China in the preceding fiscal year, or (ii) the total turnover within China of all the operators participating in the concentration exceeded RMB4 billion in the preceding fiscal year, and at least two of these operators each had a turnover of more than RMB800 million within China in the preceding fiscal year. The Regulation on Fair Competition Review promulgated by the State Council on June 6, 2024 came into effect on August 1, 2024, which define the standards for fair competition review, stating that policy measures drafted by local governments must not restrict market access and exit, hinder the free flow of goods and factors, impact production and operational costs, or interfere with production and operational activities. The Regulations on Fair Competition Review also improve the fair competition review mechanism by adjusting and clarifying the division of responsibilities among government departments, and introducing procedural requirements such as the need to solicit public opinions when drafting policies that affect the public interest. The Regulations on Fair Competition Review strengthen the supervision of fair competition reviews by establishing a comprehensive oversight mechanism, including random checks, handling of complaints, inspections, interviews, and enforcement of legal responsibilities. As a supporting rule to the Regulations on Fair Competition Review, SAMR issued the Rules for Handling Complaints on Fair Competition Review on October 13, 2024, which immediately came into effect, further streamlining the complaint handling procedures and strengthening channels for reporting of fair competition concerns. On December 20, 2024, SAMR issued the Guidelines for the Review of Horizontal Concentrations of Undertakings, also known as the Guidelines for Review of Horizontal Concentrations, which outlines the rules regarding key factors for competition analysis, including evidence materials, relevant markets, market share and market concentration, unilateral effects, coordinated effects, potential competition, market entry, buyer power, efficiency, and other factors. According to the Guidelines for Review of Horizontal Concentrations, the anti-monopoly law enforcement agency will pay special attention to a horizontal concentration of undertakings in which the total market share of the relevant parties is between 25% and 50%. Specifically, for a horizontal concentration of undertakings in which the total market share of the relevant parties is between 35% and 50%, the anti-monopoly law enforcement agency is inclined to deem that the concentration has or may have the effect of excluding or restricting competition in the relevant market. The SAMR has also issued the Discretionary Benchmark for Administrative Penalty for Illegal Concentration of Undertakings (for Trial Implementation) on February 19, 2025, which became effective on the same day and stipulated that for any illegal concentration of undertakings that does not have the effect of excluding or restricting competition, the maximum fine shall not exceed RMB5 million. If the amount calculated according to certain provision hereof exceeds RMB5 million, the amount of the fine shall be determined as RMB5 million. For any illegal concentration of undertakings that has or may have the effect of excluding or restricting competition, the maximum fine shall not exceed 10% of the sales revenue of the previous year. The SAMR further promulgated the Implementing Measures for the Regulation on Fair Competition Review on February 28, 2025, which came into effect on April 20, 2025. The Implementing Measures further clarify the applicable review standards and the specific circumstances subject to fair competition review, and set out the procedural requirements, including the applicable time limits for review and handling. On June 27, 2025, the Standing Committee of the National People’s Congress promulgated the revised Anti-Unfair Competition Law to expand regulation of digital markets, data use and platform conduct. The revised Anti-Unfair Competition Law prohibits the improper acquisition or use of data lawfully held by other operators through deceptive or technically circumventive means, even where such data does not constitute a trade secret, and restricts the use of data, algorithms or platform rules to disrupt competitors’ online services. The scope of unfair competition is further extended to digital identifiers, misleading search practices, fabricated transactions and false reviews. It also strengthens enforcement by increasing penalties and liability for online unfair competition and obstructing investigations, increasing compliance risks for data-driven platform operators.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regulations have, among other things, elaborated on the specific requirements under the Anti-Monopoly Law, optimized the regulatory and enforcement procedures and strengthened the legal responsibilities of the parties. Since such provisions are relatively new, uncertainty still remains as to the interpretation and implementation of such laws and regulations.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6, 2024, SAMR issued the Interim Provisions Against Unfair Competition in Cyberspace, which became effective on September 1, 2024, classifying certain practices as new forms of unfair competition. These include traffic hijacking behaviors such as inserting links or forcibly redirecting users without the consent of other business operators. The provisions also prohibit actions that interfere with user choice by violating user intent, increasing operational complexity, or disrupting a seamless user experience. Additionally, the regulations identify as unfair competition practices that obstruct the legitimate provision of online products by other business operators, including blocking, closing, uninstalling, or restricting the operation of such products, implementing search demotions, engaging in reverse fake transactions, and creating malicious incompatibility. Because the Interim Provisions Against Unfair Competition in Cyberspace were newly issued, there remain uncertainties as to how it would be interpreted and enforced, and to what extent it may affect 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Credit Reporting</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accordance with the Administrative Regulations on Credit Reporting Industry issued by the State Council on January 21, 2013 and entered into force on March 15, 2013, a credit reporting company that engages in individual credit reporting business shall obtain the individual credit reporting business license. Individual credit reporting business refers to activities in which credit information on individuals are collected, sorted, stored, processed and provided to users, and shall be supervised and regulated by the People’s Bank of China and its local resident offices. The Administrative Regulations on Credit Reporting Industry does not contain any explanation to “personal credit information”, but the People’s Bank of China holds in the Provisional Rules on Management of the Individual Credit Information Database that “individual credit information” covers basic individual information, individual information on loans and transactions and any other information that may reflect the individual credit situation. “Basic individual information” refers to such information as the identity information of a natural person, career and habitation address. “Individual information on loans and transactions” refers to the transactional records as provided by commercial banks, which are formed in the credit activities of natural persons such as loans, credit cards, semi credit cards and guaranty. “Any other information that may reflect the individual credit standing” refers to the information that reflects the individual credit information, apart from the information on loans and transactions. On September 27, 2021, the People’s Bank of China promulgated the Administrative Measures for Credit Information Services, which took effect on January 1, 2022. Pursuant to these measures, Credit Information Services, shall mean the collection, sorting, retention, and processing of credit information of enterprises and individuals, and the provision of the foregoing information to information users. Credit information, shall mean the basic individual information, lending information and other information used for identification and determination of creditworthiness status of enterprises and individuals, and collected pursuant to the law for the purpose of providing services for financial activities, as well as the analyzed and evaluated information formed based on the foregoing information. Persons engaging in personal credit information services shall obtain the personal credit information organization license issued by the People’s Bank of China pursuant to these measures.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VIE, Hexun Huagu, provides financial risk management solutions to its customers. Due to the lack of further interpretations of the current regulations governing personal credit reporting businesses, the exact definition and scope of “information related to credit standing” and “personal credit reporting business” under the current regulations are unclear, it is uncertain whether financial risk management solutions the VIE provides would be deemed to engage in personal credit reporting business. The VIE confirms that it has never provided credit information related to the mobile terminal user, such as credit transaction information, default frequency information, asset information, liability information, etc. to the customer, and as of the date of this annual report, has not been subject to any fines or other penalties under any laws or regulations of mainland China related to personal credit reporting business. However, given the evolving regulatory environment of the personal credit reporting industry, we cannot assure you that the VIE will not be required in the future by the governmental authorities to obtain approval or license for personal credit reporting business in order to continue offering its financial risk management solutions.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Intellectual Property Rights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Software Registration</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State Council and the National Copyright Administration have promulgated various rules and regulations and rules relating to protection of software in mainland China, including the Regulations on Protection of Computer Software promulgated by State Council on January 30, 2013 and effective since March 1, 2013, and the Measures for Registration of Copyright of Computer Software promulgated by the National Copyright Administration on February 20, 2002 and effective since the same date, which was amended on June 18, 2004. According to these rules and regulations, software owners, licensees and transferees may register their rights in software with the National Copyright Administration or its local branches and obtain software copyright registration certificates. Although such registration is not mandatory under the laws of mainland China, software owners, licensees and transferees are encouraged to go through the registration process and registered software rights may be entitled to better protections. As of December 31, 2025, we have registered copyrights to 215 software programs in mainland China.</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Artwork Copyrights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Copyright Law of mainland China, adopted in 1990 and revised in 2001, 2010 and 2020 respectively, and its implementing regulations adopted in 2002 and amended in 2011 and 2013, also provide that Chinese citizens, legal persons, or other organizations will, whether published or not, enjoy copyright in their works, which include music works. Copyright will generally be conferred upon the authors, or in case of works made for hire, upon the employer of the author. Copyright holders enjoy personal and economic rights. The personal rights of a copyright holder include rights to publish works, right to be named as the author of works, right to amend the works and right to keep the works intact; while economic rights of a copyright holder include, but not limited to, reproduction right, distribution right, performance right, information network dissemination right, etc. In accordance with the Provisional Measures on Voluntary Registration of Works, which came into effect on January 1, 1995, a piece of work may be voluntarily registered with the provincial counterpart of the National Copyright Administration. The registration certificate issued by the authority will serve as preliminary evidence of ownership when copyrights disputes arise from the underlying works. As of December 31, 2025, we have registered four artwork copyrights.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23, 2025, the Supreme People’s Court and the Supreme People’s Procuratorate promulgated the Interpretation of the Supreme People’s Court and the Supreme People’s Procuratorate on Several Issues Concerning the Application of Law in the Handling of Criminal Cases Involving IPR Infringement, which took effect on April 26, 2025, providing further clarification on the elements and sentencing standards of crimes related to copyrights.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Domain Name</w:t>
      </w:r>
    </w:p>
    <w:p>
      <w:pPr>
        <w:spacing w:after="0" w:line="22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On November 5, 2004, the Ministry of Industry and Information Technology promulgated the Measures for Administration of Domain Names for the Chinese Internet. These measures regulate the registration of domain names, such as the top level domain name “.cn.” On August 24, 2017, the Ministry of Industry and Information Technology promulgated Administrative Measures for Internet Domain Names, which became effective as of November 1, 2017, and abolished the Measures for Administration of Domain Names for the Chinese Internet the Measures for Administration of Domain Names for the Chinese Internet, which adopt “first to file” rule to allocate domain names to applicants, and provide that the Ministry of Industry and Information Technology shall supervise the domain names services nationwide and publicize mainland China’s domain name system. The efforts to undertake internet domain name services as well as the operation, maintenance, supervision and administration thereof and other activities within the territory of the of mainland China shall thereafter be made in compliance with Administrative Measures for Internet Domain Names. On May 28, 2012, the CNNIC issued a circular, which was amended on June 18, 2019, to authorize a domain name dispute resolution institution acknowledged by the CNNIC to decide disputes. On January 1, 2018, the Circular of the Ministry of Industry and Information Technology on Regulating the Use of Domain Names in Providing Internet-based Information Services issued by the Ministry of Industry and Information Technology became effective, which stipulated that an internet access service provider shall, pursuant to requirements stated in the Anti-Terrorism Law of mainland China and the Cybersecurity Law of mainland China, verify the identities of internet-based information service providers, and the internet access service providers shall not provide access services for those who fail to provide their real identity information. As of December 31, 2025, we have registered 215 domain names, 90 of which are Chinese top level domain names.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Trademark</w:t>
      </w:r>
    </w:p>
    <w:p>
      <w:pPr>
        <w:spacing w:after="0" w:line="17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The PRC Trademark Law, adopted in 1982 and latest amended in 2019, with its implementation rules adopted in 2002 and amended in 2014, protects registered trademarks. The Trademark Office of the National Intellectual Property Administration handles trademark registrations and grants a protection term of ten years to registered trademarks. Trademark license agreements must be filed with the Trademark Office for record. As of December 31, 2025, we have registered 208 trademarks and had filed 5 trademark applications in mainland China.</w:t>
      </w:r>
    </w:p>
    <w:p>
      <w:pPr>
        <w:spacing w:after="0" w:line="14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On April 23, 2025, the Supreme People’s Court and the Supreme People’s Procuratorate promulgated the Interpretation of the Supreme People’s Court and the Supreme People’s Procuratorate on Several Issues Concerning the Application of Law in the Handling of Criminal Cases Involving IPR Infringement, which took effect on April 26, 2025, providing further clarification on the elements and sentencing standards of crimes related to trademarks.</w:t>
      </w:r>
    </w:p>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Patent</w:t>
      </w:r>
    </w:p>
    <w:p>
      <w:pPr>
        <w:spacing w:after="0" w:line="17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The Standing Committee of the National People’s Congress adopted the PRC Patent Law in 1984 and amended it in 1992, 2000, 2008 and 2020, respectively. In addition, the State Council promulgated the Implementing Rules of the Patent Law in 2001, as amended in 2002, 2010 and 2023 respectively, pursuant to which a patentable invention, utility model or design must meet three conditions: novelty, inventiveness and practical applicability. Patents cannot be granted for scientific discoveries, rules and methods for intellectual activities, methods used to diagnose or treat diseases, animal and plant breeds or substances obtained by means of nuclear transformation. The Patent Office under the National Intellectual Property Administration is responsible for receiving, examining and approving patent applications. A patent is valid for a twenty-year term for an invention and a ten-year term for a utility model or design, starting from the application date. Except under certain specific circumstances provided by law, any third-party user must obtain consent or a proper license from the patent owner to use the patent, or else the use will constitute an infringement of the rights of the patent holder. As of December 31, 2025, we have registered 75 patents and are in process of applying for 107 patents in mainland China.</w:t>
      </w:r>
    </w:p>
    <w:p>
      <w:pPr>
        <w:spacing w:after="0" w:line="15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On April 23, 2025, the Supreme People’s Court and the Supreme People’s Procuratorate promulgated the Interpretation of the Supreme People’s Court and the Supreme People’s Procuratorate on Several Issues Concerning the Application of Law in the Handling of Criminal Cases Involving IPR Infringement, which took effect on April 26, 2025, providing further clarification on the elements and sentencing standards of crimes related to patents.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Internet Infringement</w:t>
      </w:r>
    </w:p>
    <w:p>
      <w:pPr>
        <w:spacing w:after="0" w:line="17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Pursuant to the Civil Code, an internet user or an internet service provider that infringes upon the civil rights or interests of others through using the internet assumes tort liability. If an internet user infringes upon the civil rights or interests of another through using the internet, the person being infringed upon has the right to notify and request the internet service provider whose internet services are facilitating the infringement to take necessary measures including the deletion, blocking or disconnection of an internet link. The notice shall include the preliminary evidence for the infringement and the true identity information of the right holder. Where an internet service provider knows or should have known that an internet user is infringing upon another person’s civil rights and interests through its internet service but fails to take necessary action, it shall assume joint and several liability with the internet user. According to the Civil Code, civil rights and interests include the personal rights and rights of property, such as the right to life, right to health, right to name, right to reputation, right to honor, right of portraiture, right of privacy, right of marital autonomy, right of guardianship, right to ownership, right to usufruct, right to security interests, copyright, patent right, exclusive right to use trademarks, right to discovery, right to equity interests and right of heritage, among others.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Currency Exchange</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Foreign Currency Exchange</w:t>
      </w:r>
    </w:p>
    <w:p>
      <w:pPr>
        <w:spacing w:after="0" w:line="17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Pursuant to the Foreign Currency Administration Rules, as amended, and various regulations issued by the SAFE and other PRC government authorities, Renminbi is freely convertible to the extent of current account items, such as trade related receipts and payments, interest and dividends. Capital account items, such as direct equity investments, loans and repatriation of investment, unless expressly exempted by laws and regulations, still require prior approval from the SAFE or its provincial branch for conversion of Renminbi into a foreign currency, such as U.S. dollars, and remittance of the foreign currency outside of the mainland China. After a Notice on Further Simplifying and Improving Foreign Exchange Administration Policy on Direct Investment became effective on June 1, 2015, instead of applying for approvals regarding foreign exchange registrations of foreign direct investment and overseas direct investment from the SAFE, entities and individuals will be required to apply for such foreign exchange registrations from qualified banks. The qualified banks, under the supervision of the SAFE, directly examine the applications and conduct the registration.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Payments for transactions that take place within the mainland China must be made in Renminbi. Foreign currency revenues received by companies in mainland China may be repatriated into China or retained outside of China in accordance with requirements and terms specified by the SAFE.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26, 2025, The PBOC and the SAFE jointly issued the Notice on Issues Concerning the Fund Management for Overseas Listings of Domestic Enterprises, which will take effect on April 1, 2026, to further facilitate domestic enterprises in efficiently raising funds in overseas financial markets. The main contents of the aforementioned Notice include: (i) clarifying that proceeds from overseas listings, such as funds raised and income from share reductions or transfers, may be repatriated in either foreign currency or Renminbi. Listing entities participating in the Full Circulation of H Shares shall distribute dividends to domestic shareholders domestically in Renminbi; (ii) specifying that funds raised from overseas listings and repatriated in foreign currency may be independently converted and used, and listing entities may autonomously choose their approaches to managing exchange rate risks within China; (iii) supporting the primary role of banks in directly handling the registration for overseas listings by domestic enterprises and appropriately relaxing the deadline requirements for registrations related to issuance, listing, additional offerings, and share reductions; and (iv) clarifying that funds raised from overseas listings and proceeds from share reductions or transfers shall, in principle, be remitted back to China. Any remaining funds remitted abroad by shareholders for the purpose of share purchases, or funds from unconsummated transactions, shall be promptly repatriated. Enterprises meeting certain conditions are permitted to retain and use raised funds overseas.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Foreign Exchange Registration of Offshore Investment by mainland China Residents</w:t>
      </w:r>
    </w:p>
    <w:p>
      <w:pPr>
        <w:spacing w:after="0" w:line="22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SAFE promulgated the Circular on Relevant Issues Concerning Foreign Exchange Control on Domestic Residents’ Offshore Investment and Financing and Roundtrip Investment through Special Purpose Vehicles, or SAFE Circular 37, on July 4, 2014. SAFE Circular 37 requires mainland China residents to register with local branches of the SAFE in connection with their direct establishment or indirect control of an offshore entity, for the purpose of overseas investment and financing, with such mainland China residents’ legally owned assets or equity interests in domestic enterprises or offshore assets or interests, referred to in SAFE Circular 37 as a “special purpose vehicle.” The term “control” under SAFE Circular 37 is broadly defined as the operation rights, beneficiary rights or decision-making rights acquired by the mainland China residents in the offshore special purpose vehicles or companies in mainland China by such means as acquisition, trust, proxy, voting rights, repurchase, convertible bonds or other arrangements. SAFE Circular 37 further requires amendment to the registration in the event of any changes with respect to the basic information of the special purpose vehicle, such as changes in a mainland China resident individual shareholder, name or operation period; or any significant changes with respect to the special purpose vehicle, such as an increase or decrease of capital contributed by mainland China individuals, a share transfer or exchange, merger, division or other material event. If the shareholders of the offshore holding company who are mainland China residents do not complete their registration with the local SAFE branches, the mainland China subsidiaries may be prohibited from distributing their profits and proceeds from any reduction in capital, share transfer or liquidation to the offshore company, and the offshore company may be restricted in its ability to contribute additional capital to its mainland China subsidiaries. Moreover, failure to comply with the SAFE registration and amendment requirements described above could result in liability under the laws of mainland China for evasion of applicable foreign exchange restrictions. We have notified holders of common shares of our company whom we know are mainland China residents to register with the local SAFE branch and update their registrations as required under the SAFE regulations described above. After the Notice on Further Simplifying and Improving Foreign Exchange Administration Policy on Direct Investment became effective on June 1, 2015, entities and individuals are required to apply for foreign exchange registration of foreign direct investment and overseas direct investment, including those required under SAFE Circular 37, with qualified banks, instead of the SAFE. The qualified banks, under the supervision of the SAFE, directly examine the applications and conduct the registration. We are aware that Mr. Weidong Luo, our shareholder who is a mainland China resident, have registered with the local SAFE branch. We, however, cannot provide any assurances that all of our shareholders who are mainland China residents will file all applicable registrations or update previously filed registrations as required by these SAFE regulations. The failure or inability of our mainland China resident shareholders to comply with the registration procedures may subject the mainland China resident shareholders to fines and legal sanctions, restrict our cross-border investment activities, or limit our mainland China subsidiaries’ ability to distribute dividends to or obtain foreign exchange-dominated loans from our company.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Rules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Administration Measures on Individual Foreign Exchange Control were promulgated by the People’s Bank of China on December 25, 2006, and their Implementation Rules, issued by the SAFE on January 5, 2007, became effective on February 1, 2007 and was amended on May 29, 2016. Under these regulations, all foreign exchange matters involved in employee stock ownership plans and stock option plans participated in by onshore individuals, among others, require approval from the SAFE or its authorized branch. Furthermore, the Notices on Issues concerning the Foreign Exchange Administration for Domestic Individuals Participating in Stock Incentive Plans of Overseas Publicly-Listed Companies, or the Stock Option Rules, were promulgated by the SAFE on February 15, 2012. Pursuant to the Stock Option Rules, mainland China residents who are granted shares or stock options by companies listed on overseas stock exchanges based on the stock incentive plans are required to register with the SAFE or its local branches, and mainland China residents participating in the stock incentive plans of overseas listed companies shall retain a qualified mainland China agent, which could be a mainland China subsidiary of such overseas publicly-listed company or another qualified institution selected by such mainland China subsidiary, to conduct the SAFE registration and other procedures with respect to the stock incentive plans on behalf of these participants. Such participants must also retain an overseas entrusted institution to handle matters in connection with their exercise of stock options, purchase and sale of corresponding stocks or interests, and fund transfer. In addition, the mainland China agents are required to amend the SAFE registration with respect to the stock incentive plan if there is any material change to the stock incentive plan, the mainland China agents or the overseas entrusted institution or other material changes. The mainland China agents shall, on behalf of the mainland China residents who have the right to exercise the employee share options, apply to the SAFE or its local branches for an annual quota for the payment of foreign currencies in connection with the mainland China residents’ exercise of the employee share options. The foreign exchange proceeds received by the mainland China residents from the sale of shares under the stock incentive plans granted and dividends distributed by the overseas listed companies must be remitted into the bank accounts in the mainland China opened by the mainland China agents before distribution to such mainland China residents. In addition, the mainland China agents shall file each quarter the form for record-filing of information of the Domestic Individuals Participating in the Stock Incentive Plans of Overseas Listed Companies with the SAFE or its local branches.</w:t>
      </w:r>
    </w:p>
    <w:p>
      <w:pPr>
        <w:spacing w:after="0" w:line="20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and our mainland China citizen employees who have been granted share options, or mainland China optionees, are subject to the Stock Option Rules as our company has become an overseas listed company. If we or our optionees in mainland China fail to comply with the Individual Foreign Exchange Rule and the Stock Option Rules, we and/or our mainland China optionees may be subject to fines and other legal sanctions. In addition, the State Administration for Taxation has issued circulars concerning employee share options, under which our employees working in the mainland China who exercise share options will be subject to mainland China’s individual income tax. Our mainland China subsidiary and VIE have obligations to file documents related to employee share options with tax authorities and to withhold individual income taxes of those employees who exercise their share options. If our employees fail to pay or if we fail to withhold their income taxes as required by laws and regulations, we may face sanctions imposed by the mainland China’s tax authorities or other PRC government authorities.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Tax</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Mainland China Enterprise Income Tax</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mainland China enterprise income tax is calculated based on the taxable income determined under the mainland China Enterprise Income Tax Law, and its implementation rules. On March 16, 2007, the National People’s Congress of China enacted the mainland China Enterprise Income Tax Law, which became effective on January 1, 2008 and was amended in 2017 and 2018. On December 6, 2007, the State Council promulgated the implementation rules to the law, which also became effective on January 1, 2008 and was amended in April 23, 2019 and December 6, 2024. This law imposes a uniform enterprise income tax rate of 25% on all resident enterprises in mainland China, including foreign-invested enterprises and domestic enterprises, unless they qualify for certain exceptions, and terminates most of the tax exemptions, reductions and preferential treatment available under the previous tax laws and regulations. According to this law and regulations, subject to the approval of competent tax authorities, the income tax of an enterprise that has been determined to be a high and new technology enterprise shall be reduced to a preferential rate of 15%. According to the Administrative Measures for the Recognition of High and New Technology Enterprises, effective on January 1, 2008 and amended on January 29, 2016, for each entity accredited as high and new technology enterprise, or the HNTE, its HNTE status is valid for three years if it meets the qualifications for HNTE on a continuing basis during such period.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Moreover, under the Enterprise Income Tax Law, enterprises organized under the laws of jurisdictions outside China with their “de facto management bodies” located within mainland China may be considered mainland China resident enterprises and are therefore subject to mainland China’s enterprise income tax at the rate of 25% on their worldwide income. Though the implementation rules of this law define “de facto management bodies” as “establishments that carry out substantial and overall management and control over the manufacturing and business operations, personnel, accounting, properties, etc. of an enterprise,” the only detailed guidance currently available for the definition of “de facto management body” as well as the determination of offshore incorporated mainland China’s tax resident status and its administration are set forth in the Circular Regarding the Determination of Chinese-Controlled Offshore Incorporated Enterprises as Mainland China Tax Resident Enterprise on the Basis of De Facto Management Bodies, or Circular 82, and the Administrative Measures for Enterprise Income Tax of Chinese-Controlled Offshore Incorporated Resident Enterprises (Trial), or SAT Circular 45, both issued by the State Administration of Taxation, which provide guidance on the administration as well as determination of the tax residency status of a Chinese-controlled offshore-incorporated enterprise, defined as an enterprise that is incorporated under the law of a foreign country or territory and that has a company in mainland China or corporate group in mainland China as its primary controlling shareholder.</w:t>
      </w:r>
    </w:p>
    <w:p>
      <w:pPr>
        <w:spacing w:after="0" w:line="13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According to Circular 82, a Chinese-controlled offshore-incorporated enterprise will be regarded as a mainland China tax resident by virtue of having its “de facto management body” in mainland China and will be subject to mainland China’s enterprise income tax on its global income only if all of the following conditions set forth in Circular 82 are met:</w:t>
      </w:r>
    </w:p>
    <w:p>
      <w:pPr>
        <w:spacing w:after="0" w:line="122" w:lineRule="exact"/>
        <w:rPr>
          <w:sz w:val="20"/>
          <w:szCs w:val="20"/>
          <w:color w:val="auto"/>
        </w:rPr>
      </w:pPr>
    </w:p>
    <w:p>
      <w:pPr>
        <w:ind w:left="1000" w:hanging="317"/>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location of the day-to-day operational management and the places where they perform their duties are in the mainland China;</w:t>
      </w:r>
    </w:p>
    <w:p>
      <w:pPr>
        <w:spacing w:after="0" w:line="107"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relating to the enterprise’s financial and human resource matters are made or are subject to approval of organizations or personnel in the mainland China; and</w:t>
      </w:r>
    </w:p>
    <w:p>
      <w:pPr>
        <w:spacing w:after="0" w:line="107"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enterprise’s primary assets, accounting books and records, company seals and board and shareholder resolutions are located or maintained in the mainland China; and 50% or more of voting board members or senior executives habitually reside in the mainland China.</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SAT Circular 45 provides clarification on the resident status determination, post-determination administration, and competent tax authorities. It also specifies that when provided with a copy of a mainland China resident determination certificate from a resident Chinese-controlled offshore-incorporated enterprise, the payer should not withhold 10% income tax when paying certain mainland China-sourced income such as dividends, interest and royalties to the Chinese-controlled offshore-incorporated enterprise.</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that we are considered a mainland China resident enterprise, we would be subject to the mainland China’s enterprise income tax at the rate of 25% on our worldwide income.</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although the Enterprise Income Tax Law provides that dividend income between “qualified resident enterprises” is exempted income, and the implementation rules refer to “qualified resident enterprises” as enterprises with “direct equity interest,” it is unclear whether dividends we receive from our mainland China subsidiary are eligible for exemption.</w:t>
      </w:r>
    </w:p>
    <w:p>
      <w:pPr>
        <w:spacing w:after="0" w:line="12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7"/>
          <w:szCs w:val="17"/>
          <w:color w:val="auto"/>
        </w:rPr>
        <w:t>On February 3, 2015, the State Administration of Taxation issued the Announcement of the State Administration of Taxation on Several Issues Concerning the Enterprise Income Tax on Indirect Property Transfer by Non-Resident Enterprises, or SAT Circular 7. SAT Circular 7 extends the mainland China’s tax jurisdiction to transactions involving the transfer of taxable assets through offshore transfer of a foreign intermediate holding company. In addition, SAT Circular 7 has introduced safe harbors for internal group restructurings and the purchase and sale of equity through a public securities market. SAT Circular 7 also brings challenges to both foreign transferor and transferee (or other person who is obligated to pay for the transfer) of taxable assets as they have to make self-assessment on whether the transaction should be subject to mainland China’s tax and to file or withhold the mainland China’s tax accordingly.</w:t>
      </w:r>
    </w:p>
    <w:p>
      <w:pPr>
        <w:spacing w:after="0" w:line="11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17, 2017, the State Administration of Taxation issued the Announcement of the State Administration of Taxation on Matters Concerning Withholding of Income Tax of Non-resident Enterprises at Source, or SAT Circular 37, which came into effect on December 1, 2017. According to SAT Circular 37, the income from property transfer obtained by a non-resident enterprise, as stipulated in the second item under Article 19 of the Enterprise Income Tax Law, shall include the income derived from transferring equity investment assets as stock equity. The withholding agent shall, within seven days of the day on which the withholding obligation occurs, declare and remit the withholding tax to the competent tax authority at its locality.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 non-resident investors were involved in our private equity financing, if such transactions were determined by the tax authorities to lack reasonable commercial purpose, we and our non-resident investors may become at risk of being required to file a return and taxed under SAT Circular 37 and/or SAT Circular 7 and we may be required to expend valuable resources to comply with SAT Circular 37 and/or SAT Circular 7 or to establish that we should not be held liable for any obligations under SAT Circular 37 and/or SAT Circular 7. See “Item 3. Key Information—D. Risk Factors—Risks Related to Doing Business in China—We face uncertainty with respect to indirect transfers of equity interests in mainland China resident enterprises by their non-mainland China holding companies.”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Value-Added Tax</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Provisional Regulations on Value-added Tax, which was promulgated by the State Council on December 13, 1993, as amended and the Implementing Rules of the Provisional Regulations on Value-added Tax, which was promulgated by the Ministry of Finance on December 15, 2008, as amended, all individuals and entities selling goods, providing labor services of processing or repairing, selling services, intangible assets or real property within, or importing goods into, the mainland China must pay value-added tax.</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January 1, 2012, the Ministry of Finance and State Administration of Taxation implemented a pilot value-added tax reform program applicable to businesses in selected industries. Businesses in this program would pay value-added tax instead of business tax. The pilot industries in Shanghai included industries involving the leasing of tangible movable property, transportation services, research and development and technical services, information technology services, cultural and creative services, logistics and ancillary services and certification and consulting services. Revenues generated by advertising services, a type of “cultural and creative services,” are subject to the value-added tax rate of 6%. According to official announcements made by competent authorities in Guangdong province, Guangdong province launched the same program on November 1, 2012. On March 23, 2016, the Ministry of Finance and the State Administration of Taxation issued the Circular on Comprehensively Promoting the Pilot Program of the Collection of Value-Added Tax in Lieu of Business Tax. Effective from May 1, 2016, the mainland China’s tax authorities collect value-added tax in lieu of business tax on a trial basis, and in industries such as the construction industry, the real estate industry, the financial industry and the living services industry.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19, 2017, the State Council promulgated the Decision of the State Council on Abolishing the Interim Regulations of the mainland China on Business Tax and Amending the Interim Value-Added Tax Regulations of the mainland China. Since then, business tax has been comprehensively canceled. We currently pay the value-added tax instead of business taxes for our revenue derived from the provision of some modern services.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25, 2024, the Standing Committee of the National People’s Congress promulgated the VAT Law of the PRC, which became effective on January 1, 2026 and replaced the Provisional Regulations on Value-added Tax. The VAT Law provides that VAT rates generally applicable are simplified as 13%, 9% and 6%, and the VAT rate for simplified tax calculation method is 3%.</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Dividends Withholding Tax</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Enterprise Income Tax Law and its implementation rules, dividends from income generated from the business of a mainland China subsidiary after January 1, 2008 and distributed to its foreign investor are subject to withholding tax at a rate of 10% if the mainland China’s tax authorities determine that the foreign investor is a non-resident enterprise, unless there is a tax treaty with China that provides for a preferential withholding tax rate. Pursuant to the Arrangement between Mainland China and the Hong Kong Special Administrative Region for the Avoidance of Double Taxation and Tax Evasion on Income, the withholding tax rate in respect to the payment of dividends by a mainland China enterprise to a Hong Kong enterprise may be reduced to 5% from a standard rate of 10% if the Hong Kong enterprise directly holds at least 25% of the mainland China enterprise. Pursuant to the Notice on the Issues concerning the Application of the Dividend Clauses of Tax Agreements issued by the State Administration of Taxation on February 20, 2009, a Hong Kong resident enterprise must meet the following conditions, among others, in order to apply the reduced withholding tax rate: (i) it must be a company; (ii) it must directly own the required percentage of equity interests and voting rights in the mainland China resident enterprise; and (iii) it must have directly owned such required percentage in the mainland China resident enterprise throughout the 12 months prior to receiving the dividends. However, according to this notice, if the tax authorities consider the transactions or arrangements we have are for the primary purpose of enjoying a favorable tax treatment, the tax authorities may adjust the favorable withholding tax in the future.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uncertainties remain regarding the interpretation and implementation of the Enterprise Income Tax Law and its implementation rules, we cannot assure you that, if we are deemed a mainland China resident enterprise, any dividends to be distributed by us to our non-domestic shareholders and ADS holders would not be subject to any mainland China’s withholding tax. See “Item 3. Key Information—D. Risk Factors—Risks Related to Doing Business in China—If we are classified as a mainland China resident enterprise for income tax purposes, such classification could result in unfavorable tax consequences to us and our non-mainland-China shareholders or ADS 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Dividend Distribution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Companies in the mainland China may pay dividends only out of their accumulated profits, if any, as determined in accordance with mainland China’s accounting standards and regulations. Additionally, companies may not pay dividends unless they set aside at least 10% of their respective accumulated profits after tax each year, if any, to fund certain reserve funds, until such time as the accumulative amount of such fund reaches 50% of the enterprise’s registered capital. In addition, these companies also may allocate a portion of their after-tax profits based on mainland China’s accounting standards to employee welfare and bonus funds at their discretion. These reserves are not distributable as cash dividends.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Laws and Social Insurance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principle laws that govern employment include:</w:t>
      </w:r>
    </w:p>
    <w:p>
      <w:pPr>
        <w:spacing w:after="0" w:line="225" w:lineRule="exact"/>
        <w:rPr>
          <w:sz w:val="20"/>
          <w:szCs w:val="20"/>
          <w:color w:val="auto"/>
        </w:rPr>
      </w:pPr>
    </w:p>
    <w:p>
      <w:pPr>
        <w:ind w:left="1000" w:right="20" w:hanging="317"/>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Labor Law, promulgated by the Standing Committee of the National People’s Congress on July 5, 1994, effective since January 1, 1995 and most recently amended on December 29, 2018;</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Labor Contract Law, promulgated by the Standing Committee of the National People’s Congress on June 29, 2007 and effective since January 1, 2008 and amended on December 28, 2012;</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Rules of the PRC Labor Contract Law, promulgated by the State Council on September 18, 2008 and effective since September 18, 2008;</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Work-related Injury Insurance Regulations, promulgated by the State Council on April 27, 2003 and effective since January 1, 2004 and amended on December 20, 2010;</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Regulations on the Collection and Payment of Social Insurance Fees, promulgated by the State Council on January 22, 1999 and effective since January 22, 1999 and amended on March 24, 2019;</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Social Insurance Law promulgated by the National People’s Congress on October 28, 2010, effective since July 1, 2011 and subsequently amended on December 29, 2018; and</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on the Administration of Housing Fund promulgated by the State Council on April 3, 1999 and amended in 2002 and 2019 respectively.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According to the PRC Labor Law and PRC Labor Contract Law, employers must execute written labor contracts with full-time employees. All employers must compensate their employees with wages equal to at least the local minimum wage standards. All employers are required to establish a system for labor safety and workplace sanitation, strictly comply with state rules and standards and provide employees with workplace safety training. Violations of the PRC Labor Contract Law and the PRC Labor Law may result in the imposition of fines and other administrative penalties. For serious violations, criminal liability may arise.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pursuant to the PRC Social Insurance Law, employers in mainland China are required to provide employees with welfare schemes covering pension insurance, unemployment insurance, maternity insurance, work-related injury insurance, medical insurance and housing funds. According to the Regulation on the Administration of Housing Fund, employers are required to register at the designated administrative centers, open bank accounts for depositing employees’ housing fund and make housing fund contributions for employees in the mainland China.</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WFOE and VIE have not fully contributed to the social insurance plan and the housing fund plan as required by applicable regulations of mainland China. We have recorded accruals for estimated underpaid amounts in our consolidated financial statements.</w:t>
      </w:r>
    </w:p>
    <w:p>
      <w:pPr>
        <w:spacing w:after="0" w:line="158"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Organizational Structure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chart illustrates our corporate structure, including our significant subsidiaries and consolidated variable interest entity as of the date of this annual report on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114300</wp:posOffset>
            </wp:positionV>
            <wp:extent cx="5820410" cy="44494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20410" cy="4449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225" w:lineRule="exact"/>
        <w:rPr>
          <w:sz w:val="20"/>
          <w:szCs w:val="20"/>
          <w:color w:val="auto"/>
        </w:rPr>
      </w:pPr>
    </w:p>
    <w:p>
      <w:pPr>
        <w:jc w:val="both"/>
        <w:ind w:left="340" w:hanging="332"/>
        <w:spacing w:after="0" w:line="266"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Weidong Luo, our founder, chairman of our board of directors, chief executive officer and a principal beneficial owner of the shares of our company, holds 80% equity interests in the VIE. Mr. Guangyan Chen, our general manager, holds 20% equity interests in the VIE.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through our WFOE, had previously entered into a series of contractual arrangements with the VIE and then nominee shareholders of the VIE. On July 26, 2022, certain then shareholders of the VIE, Mr. Xiaodao Wang and Mr. Jiawen Fang, transferred their entire equity interests in the VIE to Mr. Guangyan Chen. We entered into a termination agreement of contractual agreements with the VIE and the then nominee shareholders of the VIE to terminate the previous contractual arrangements, and concurrently signed a series of new contractual arrangements with the VIE and its current nominee shareholders.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these contractual arrangements, we are considered the primary beneficiary of the VIE and hence consolidate its financial results with ours under U.S. GAAP for accounting purposes. In 2023, 2024 and 2025, we derived 95.0%, 90.7% and 85.2% of our external revenues from the VIE, respectively.</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previous contractual agreements include exclusive option agreements, exclusive business cooperation agreement, financial support agreement, shareholder voting proxy agreement, power of attorney and equity interest pledge agreements. Pursuant to the exclusive option agreements, each then shareholder of the VIE has irrevocably granted our WFOE an exclusive option to purchase all or part of his equity interests in the VIE, and the VIE has irrevocably granted our WFOE an exclusive option to purchase all or part of its assets. Pursuant to the exclusive business cooperation agreement, our WFOE has the exclusive right to provide the VIE comprehensive business support, technical services, consulting services and other services. Pursuant to the financial support agreement, we undertake to provide unlimited financial support to the VIE to the extent permissible under the applicable laws and regulations of mainland China, whether or not any operational loss is actually incurred by the VIE. Each of the then shareholders of the VIE has also executed a shareholder voting proxy agreement and a power of attorney to irrevocably authorize our company to act as his attorney-in-fact to exercise all of his rights as a shareholder of the VIE. Pursuant to the equity interest pledge agreements, the then shareholders of the VIE have pledged 100% equity interests in the VIE to our WFOE to guarantee performance by the then shareholders of their obligations under the exclusive option agreements, the shareholder voting proxy agreement and the financial support agreement, as well as the performance by the VIE of its obligations under the exclusive business cooperation agreement and the exclusive option agreements.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currently effective contractual arrangements relating to the VIE.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that enable us to direct the activities of the VIE</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Shareholder Voting Proxy Agreement. </w:t>
      </w:r>
      <w:r>
        <w:rPr>
          <w:rFonts w:ascii="Times New Roman" w:cs="Times New Roman" w:eastAsia="Times New Roman" w:hAnsi="Times New Roman"/>
          <w:sz w:val="18"/>
          <w:szCs w:val="18"/>
          <w:color w:val="auto"/>
        </w:rPr>
        <w:t>Pursuant to the shareholder voting proxy agreement, dated July 26, 2022, by and among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company, our WFOE and each of the current shareholders of the VIE, each of the current shareholders of the VIE irrevocably authorizes our company to act as his attorney-in-fact to exercise all of his rights as a shareholder of the VIE that are substantially the same as those described above. The shareholder voting proxy agreement will remain effective until the shareholders no longer hold any equity interests in the VIE, unless terminated in accordance with the provisions of the agreement or terminated in writing by our company.</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Equity Interest Pledge Agreements. </w:t>
      </w:r>
      <w:r>
        <w:rPr>
          <w:rFonts w:ascii="Times New Roman" w:cs="Times New Roman" w:eastAsia="Times New Roman" w:hAnsi="Times New Roman"/>
          <w:sz w:val="18"/>
          <w:szCs w:val="18"/>
          <w:color w:val="auto"/>
        </w:rPr>
        <w:t>Pursuant to the equity interest pledge agreements, dated July 26, 2022, among our WFOE,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VIE and each of the current shareholders of the VIE, the current shareholders of the VIE have pledged 100% equity interests in the VIE to our WFOE to guarantee performance by the shareholders of their obligations under the exclusive option agreements, the shareholder voting proxy agreement and the financial support agreement, and the performance by the VIE of its obligations under the exclusive business cooperation agreement and the exclusive option agreements. In the event of a breach by the VIE or any of its shareholder of contractual obligations under the equity interest pledge agreements, our WFOE, as pledgee, will have the right to dispose of the pledged equity interests in the VIE and will have priority in receiving the proceeds from such disposal. The current shareholders of the VIE also undertake that, without the prior written consent of our WFOE, they will not dispose of, create or allow any encumbrance on the pledged equity interests. The VIE undertakes that, without the prior written consent of our WFOE, they will not assist or allow any encumbrance to be created on the pledged equity interests.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 that allows us to receive economic benefits from the VIE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Exclusive Business Cooperation Agreement. </w:t>
      </w:r>
      <w:r>
        <w:rPr>
          <w:rFonts w:ascii="Times New Roman" w:cs="Times New Roman" w:eastAsia="Times New Roman" w:hAnsi="Times New Roman"/>
          <w:sz w:val="18"/>
          <w:szCs w:val="18"/>
          <w:color w:val="auto"/>
        </w:rPr>
        <w:t>Under the exclusive business cooperation agreement between our WFOE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VIE, dated July 26, 2022, our WFOE has the exclusive right to provide to the VIE comprehensive business support, technical services, consulting services and other services. Without our WFOE’s prior written consent, the VIE may not accept any services subject to this agreement from any third party. Our WFOE has the exclusive ownership of intellectual property rights created as a result of the performance of this agreement. The VIE agrees to pay our WFOE an annual service fee at an amount equivalent to a certain percentage of the VIE’s audited total operating income for the relevant year. This agreement will remain effective for an indefinite term, unless terminated in accordance with the provisions of this agreement or terminated in writing by our WFOE.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that provide us with the option to purchase the equity interests in and assets of the VIE</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Exclusive Option Agreements. </w:t>
      </w:r>
      <w:r>
        <w:rPr>
          <w:rFonts w:ascii="Times New Roman" w:cs="Times New Roman" w:eastAsia="Times New Roman" w:hAnsi="Times New Roman"/>
          <w:sz w:val="18"/>
          <w:szCs w:val="18"/>
          <w:color w:val="auto"/>
        </w:rPr>
        <w:t>Pursuant to the exclusive option agreements, dated July 26, 2022, among our WFOE, the VIE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current shareholder of the VIE, each current shareholder of the VIE has irrevocably granted our WFOE an exclusive option to purchase all or part of his equity interests in the VIE, and the VIE has irrevocably granted our WFOE an exclusive option to purchase all or part of its assets. Our WFOE or its designated person may exercise such options for the higher of RMB10 or the lowest price permitted under applicable laws of mainland China. Each current shareholder of the VIE undertakes that, without our WFOE’s prior written consent, he will not, among other things, (i) create any pledge or encumbrance on their equity interests in the VIE, (ii) transfer or otherwise dispose of their equity interests in the VIE, (iii) change the VIE’s registered capital, (iv) amend the VIE’s articles of association, (v) dispose of the VIE’s material assets (except in the ordinary course of business), or (vi) merge the VIE with any other entity. In addition, the VIE undertakes that, without our WFOE’s prior written consent, it will not, among other things, create any pledge or encumbrance on any of its assets, or transfer or otherwise dispose of its material assets (except in the ordinary course of business). The exclusive option agreements will remain effective until the entire equity interests in and all the assets of the VIE have been transferred to our WFOE or its designated person.</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Financial Support Agreement. </w:t>
      </w:r>
      <w:r>
        <w:rPr>
          <w:rFonts w:ascii="Times New Roman" w:cs="Times New Roman" w:eastAsia="Times New Roman" w:hAnsi="Times New Roman"/>
          <w:sz w:val="18"/>
          <w:szCs w:val="18"/>
          <w:color w:val="auto"/>
        </w:rPr>
        <w:t>Pursuant to the financial support agreement, dated July 26, 2022, by and among our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WFOE and the current shareholders of the VIE, we undertake to provide unlimited financial support to the VIE to the extent permissible under the applicable laws and regulations of mainland China, whether or not any operational loss is actually incurred by the VIE. We will not request repayment of the loans or borrowings if the VIE or its shareholders do not have sufficient funds or are unable to repay the loans.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opinion of Han Kun Law Offices, our PRC legal counsel:</w:t>
      </w:r>
    </w:p>
    <w:p>
      <w:pPr>
        <w:spacing w:after="0" w:line="225" w:lineRule="exact"/>
        <w:rPr>
          <w:sz w:val="20"/>
          <w:szCs w:val="20"/>
          <w:color w:val="auto"/>
        </w:rPr>
      </w:pPr>
    </w:p>
    <w:p>
      <w:pPr>
        <w:ind w:left="1000" w:hanging="317"/>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structures of the VIE in mainland China and our WFOE are not in violation of applicable laws and regulations of mainland China currently in effect; and</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arrangements between our company, our WFOE, the VIE and its shareholders governed by laws and regulations of mainland China are valid, binding and enforceable, and will not result in any violation of applicable laws and regulations of mainland China.</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However, our PRC legal counsel has also advised us that there are substantial uncertainties regarding the interpretation and application of current and future laws, regulations and rules of mainland China. Accordingly, the PRC regulatory authorities may take a view that is contrary to the opinion of our PRC legal counsel. It is uncertain whether any new laws or regulations of mainland China relating to variable interest entity structures will be adopted or if adopted, what they would provide. If we or the VIE are found to be in violation of any existing or future laws or regulations of mainland China, or fail to obtain or maintain any of the required permits or approvals, the PRC regulatory authorities would have broad discretion to take action in dealing with such violations or failures. See “Item 3. Key Information—D. Risk Factors—Risks Related to Our Corporate Structure—If the PRC government finds that the agreements that establish the structure for operating some of our or the VIE’s business operations in mainland China do not comply with regulations of mainland China relating to certain industries, or if these regulations or the interpretation of existing regulations change in the future, we could be subject to severe penalties or be forced to relinquish our interest in those operations” and “Item 3. Key Information—D. Risk Factors—Risks Related to Doing Business in China—There are uncertainties regarding the interpretation and enforcement of PRC laws, rules and regulations.”</w:t>
      </w:r>
    </w:p>
    <w:p>
      <w:pPr>
        <w:spacing w:after="0" w:line="186"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Property, Plant and Equipment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headquarters is located in Shenzhen, China where we lease and occupy our office space with an aggregate floor area of approximately 2,637 square meters. A substantial majority of our employees are based at our headquarters in Shenzhen. We also lease and occupy office buildings in Beijing, Shanghai, Hong Kong, Wuhan, Chengdu, Singapore and Malaysia with a total floor area of approximately 1,048 square meters. These leases vary in duration from one to six years.</w:t>
      </w:r>
    </w:p>
    <w:p>
      <w:pPr>
        <w:spacing w:after="0" w:line="180"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We believe that our existing facilities are sufficient for our current needs, and we will obtain additional facilities, principally through leasing, to accommodate our future expansion plans as needed.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OPERATING AND FINANCIAL REVIEW AND PROSPECTS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the related notes included elsewhere in this annual report on Form 20-F.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“Item 3. Key Information—D. Risk Factors” or in other parts of this annual report on Form 20-F.</w:t>
      </w:r>
    </w:p>
    <w:p>
      <w:pPr>
        <w:spacing w:after="0" w:line="181" w:lineRule="exact"/>
        <w:rPr>
          <w:sz w:val="20"/>
          <w:szCs w:val="20"/>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Operating Results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 leading provider of customer engagement and marketing technology services in mainland China. We provide a comprehensive suite of developer services to mobile app developers in China, through which we gain access to, aggregate, cleanse, structure and encrypt vast amounts of real-time anonymous device-level mobile behavioral data. We utilize AI and machine learning to derive actionable insights from this data, enabling our customers to make better business decisions. We have developed a variety of SAAS Businesses that offer industry-specific, actionable insights for customers. Our SAAS Businesses include developer service and vertical applications, which comprised of market intelligence and financial risk management. We currently generate revenue primarily from our SAAS Businesses, while we adopt a freemium model for most of our developer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business and operating results are influenced by general factors affecting China’s mobile internet industry and app developer services market, as well as the application of big data technology in China. The general factors include China’s overall economic growth and level of per capita disposable income, mobile internet usage and penetration, development of the app developer services market, growth of application of SAAS Businesses in areas such as mobile marketing, financial risk management services and market intelligence services, the competitive environment and governmental policies and initiatives affecting the Chinese mobile internet industry and data technology. Unfavorable changes in any of these general industry conditions could negatively affect demand for our services and solutions and materially and adversely affect our results of operations.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While our business is influenced by general factors affecting our industry, our results of operations are more directly affected by company specific factors, including the following major factors:</w:t>
      </w:r>
    </w:p>
    <w:p>
      <w:pPr>
        <w:spacing w:after="0" w:line="162" w:lineRule="exact"/>
        <w:rPr>
          <w:sz w:val="20"/>
          <w:szCs w:val="20"/>
          <w:color w:val="auto"/>
        </w:rPr>
      </w:pPr>
    </w:p>
    <w:p>
      <w:pPr>
        <w:ind w:left="1000" w:hanging="317"/>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the number of customers and average spending per customer;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SAAS Businesses that meet market demands;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broaden and deepen our data pool and enhance our AI and machine learning technology;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our margins.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increase the number of customers and average spending per customer</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revenue depends on the changes in our number of customers and average spending per customer. We recorded total revenues of RMB290.2 million in 2023, RMB316.2 million in 2024 and RMB374.8 million (US$53.6 million) in 2025. Our number of customers increased from 5,904 in 2023 to 6,084 in 2024, and further increased to 6,587 in 2025 mainly due to the expansion in overseas markets. We define our customers in a given period as those that purchase at least one of our paid-for SAAS Businesses including developer service and vertical applications during the same period. The average spending per customer increased from RMB49,159 in 2023 to RMB51,967 in 2024, and further increased to RMB56,907 (US$8,138) in 2025. Our revenues from SAAS Businesses increased to RMB316.2 million in 2024, and further increased to RMB374.8 million (US$53.6 million) in 2025 mainly due to the growth of demand in all business lines and the increase in the number of customers for our core Developer Subscription Services. Our ability to expand our customer base by retaining existing customers and attracting new customers, and increase the average spending per customer depends on, among other things, our ability to continually broaden and deepen our data pool, enhance our AI and machine learning capabilities, expand our existing SAAS Businesses, develop and productize new services and solutions, and effectively market and sell our services and solutions.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develop new SAAS Businesses and other business initiatives that meet market demands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future success is significantly dependent on our ability to continually develop new SAAS Businesses and other business initiatives that meet evolving market demands. We have dedicated and will continue to dedicate significant resources and efforts to developing new SAAS Businesses. We have a team of product developers within our research and development team who identify the potential market demand and lead the development of new services and solutions and the enhancement of existing ones. We seek to develop more innovative developer services, in line with the development of mobile internet and Internet of Things (IoT), to meet the evolving demand of app developers and customers. We focus on our SAAS Businesses, including market intelligence and financial risk management. We will continue to enrich and expand our existing solutions to better serve existing customers and attract new customers, and also seek to expand our SAAS Businesses and other business initiatives.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broaden and deepen our data pool and enhance our Al and machine learning technology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generated revenue primarily from our SAAS Businesses. Our ability to expand and improve our existing products and develop new ones depends on the size and depth of our data pool, as well as the technology we use to process the data and derive actionable insights from it. It is thus critical for us to both enrich our data pool and enhance our AI and machine learning capabilities to extract deeper insights from the data. We intend to achieve the former by continuing to offer best-in-class developer services and attract more app developers to use our services in their apps, and the latter by refining our algorithms and improving our predictive capabilities. To that end, we will continue to invest in our technology and infrastructure to deliver highly reliable and scalable developer services and provide a broader range of developer services. We will also continue to invest in talent by recruiting, retaining and training AI specialists and data scientists to widen our technology advantage. The enhancement of our research and development capabilities enables us to develop new SAAS Businesses and optimize our solution offerings, thereby allowing us to obtain more favorable pricing terms for our SAAS Businesses.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improve our margins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results of operations are directly affected by our ability to improve our margins, which depends on our ability to improve the margin of SAAS Businesses and expand our vertical applications and other business initiatives. Moreover, our ability to achieve profitability is dependent on our ability to improve our operational efficiency by reducing the total operating expenses as a percentage of our revenues.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developer services are strategically modularized to maximize efficiency and cohesiveness of operations, and our centralized data processing platform has been designed and built to power our growth as we scale to meet demands from our expanding customer base and allow for quick and cost-effective product development. We expect to continue to leverage the scalability of our business model, improve the efficiency and utilization of our personnel. In addition, our ability to lower our operating expenses as a percentage of revenues also depends on our ability to improve sales efficiency. We currently sell our SAAS Businesses through our direct sales force, which focuses on expanding our customer base and increasing the spending by existing customers. We will also utilize the insights we gain from data analytics and mining to guide our own sales and marketing efforts and our product development activities to improve our margins.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300"/>
        <w:spacing w:after="0" w:line="479" w:lineRule="auto"/>
        <w:rPr>
          <w:sz w:val="20"/>
          <w:szCs w:val="20"/>
          <w:color w:val="auto"/>
        </w:rPr>
      </w:pPr>
      <w:r>
        <w:rPr>
          <w:rFonts w:ascii="Times New Roman" w:cs="Times New Roman" w:eastAsia="Times New Roman" w:hAnsi="Times New Roman"/>
          <w:sz w:val="18"/>
          <w:szCs w:val="18"/>
          <w:b w:val="1"/>
          <w:bCs w:val="1"/>
          <w:color w:val="auto"/>
        </w:rPr>
        <w:t xml:space="preserve">Key Line Items and Specific Factors Affecting Our Results of Operations </w:t>
      </w:r>
      <w:r>
        <w:rPr>
          <w:rFonts w:ascii="Times New Roman" w:cs="Times New Roman" w:eastAsia="Times New Roman" w:hAnsi="Times New Roman"/>
          <w:sz w:val="18"/>
          <w:szCs w:val="18"/>
          <w:b w:val="1"/>
          <w:bCs w:val="1"/>
          <w:i w:val="1"/>
          <w:iCs w:val="1"/>
          <w:color w:val="auto"/>
        </w:rPr>
        <w:t>Revenues</w:t>
      </w:r>
    </w:p>
    <w:p>
      <w:pPr>
        <w:spacing w:after="0" w:line="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generate revenue primarily from our SAAS Businesses. We recognized revenues of RMB290.2 million, RMB316.2 million and RMB374.8 million (US$53.6 million) from our SAAS Businesses in 2023, 2024 and 2025, respectively.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generate SAAS Businesses revenues primarily by providing developer services and vertical applications. For developer service, there are three types of contracts, subscription-based contracts, project-based contracts and consumption-based contracts. We primarily enter into subscription-based contracts with our customers to provide push notification or instant messaging, or collectively, notification services, which we provide our customers with access to its notification services platform. This enables customers to send notifications and messages to users. The nature of the Company’s performance obligation is a single performance obligation with a fixed transaction price based on subscription fees. We generally recognize revenue ratably over time under the subscription-based contracts, because the customer simultaneously receives and consumes the benefits as we provide subscription services throughout a fixed contract term.</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primarily enter into consumption-based contracts with our customers to provide short message services, or SMS, one-click verification services, email services and value-added services. For SMS, we enable customers to send short messages to users for developer-user communication and authentication. For one-click verification services, we enable users to verify the cellphone number of users without verification code after integrating the one-click verification SDK. For email services, the Company enables the customers to send emails to users. Customers pay for SMS, one-click verification and email services based on the pre-agreed the rate per message or email and the number of messages or email delivered. We act as the principal in the SMS, one-click verification and email services in which we have control over the fulfillment of services. We recognize revenue on a gross basis and at the point in time when messages delivered. For value-added services, we provided advertising services by connecting advertisers and APP developers, who are the suppliers of avenue where the ads will be displayed. We enter into contractual arrangements with advertisers that stipulate the types of advertising to be delivered and priced. Advertising customers pay for the value-added service primarily based on several basis, including cost-per-action (“CPA”) basis, cost-per-mille (“CPM”), cost-per-sale (“CPS”) and cost-per-click (“CPC”) basis. All of the contractual arrangements’ duration is less than one year. We act as the principal in the value-added services under which we have control over the fulfillment of the service and have discretion in establishing price. Accordingly, we recognize revenue on a gross basis and at a point in time once agreed actions are performed.</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primarily enter into project-based contracts with our customers to provide private cloud-based developer services, which are designed to provide customizable services to customers who want a more controlled software environment and more comprehensive technology and customer support. We provide our customers one combined performance obligation including customized APP push notification system or instant messaging system and related system training services as both performance obligations are incapable of being distinct because the customer cannot derive economic benefit from the related system training services on its own. Meanwhile, we also provide post contract assurance-type maintenance services, which usually have a duration of one year. The transaction price is fixed based on the signed contract consideration. Under ASC 606, we recognize revenue at the point in time when the system is implemented, and the training service is provided, which is represented by the customer acceptance received by us.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vertical applications, we enter into agreements with our customers to provide data analytic solutions and there are three types of contracts, subscription-based contracts, project-based contracts and consumption-based contracts. We primarily enter into subscription-based contracts with our customers to provide customizable service package for a fixed contract term, which allows the customers to subscribe a fixed number of apps to obtain an unlimited volume of queries to our analytic results. The nature of our performance obligation is a single performance obligation with a fixed transaction price based on subscription fees. We generally recognize revenue ratably over time under the subscription-based contracts, because the customer simultaneously receives and consumes the benefits as we provide subscription services throughout a fixed contract term.</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primarily enter into project-based contracts with our customers to provide in-depth analytics services and generate customized reports based on the customers’ specific requirements. The nature of our performance obligation is a single performance obligation with a fixed transaction price based on the signed contract consideration. We recognize revenue at the point in time when the customized reports are provided.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primarily enter into consumption-based contracts with our customers to process the queries or provide features based on the customers’ requirements. The nature of our performance obligation is a single performance obligation, and the transaction price is determined based on the pre-agreed rate per query and the number of queries delivered. When we receive a placed order, we recognize revenue at a point in time when the queries are processed, or the features are utilized by the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cost of revenues currently consists primarily of channel cost, purchase of short message, bandwidth and cloud cost, technical service cost, staff costs and depreciation of servers used for revenue generating services and solutions. In relation to our bandwidth and cloud cost, staff cost and depreciation of servers, we allocate such cost based on revenue generating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our gross profit and gross margin for each of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40" w:type="dxa"/>
            <w:vAlign w:val="bottom"/>
          </w:tcPr>
          <w:p>
            <w:pPr>
              <w:spacing w:after="0"/>
              <w:rPr>
                <w:sz w:val="15"/>
                <w:szCs w:val="15"/>
                <w:color w:val="auto"/>
              </w:rPr>
            </w:pPr>
          </w:p>
        </w:tc>
        <w:tc>
          <w:tcPr>
            <w:tcW w:w="2240" w:type="dxa"/>
            <w:vAlign w:val="bottom"/>
            <w:gridSpan w:val="2"/>
          </w:tcPr>
          <w:p>
            <w:pPr>
              <w:ind w:left="196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940" w:type="dxa"/>
            <w:vAlign w:val="bottom"/>
          </w:tcPr>
          <w:p>
            <w:pPr>
              <w:spacing w:after="0"/>
              <w:rPr>
                <w:sz w:val="10"/>
                <w:szCs w:val="10"/>
                <w:color w:val="auto"/>
              </w:rPr>
            </w:pPr>
          </w:p>
        </w:tc>
        <w:tc>
          <w:tcPr>
            <w:tcW w:w="2240" w:type="dxa"/>
            <w:vAlign w:val="bottom"/>
            <w:gridSpan w:val="2"/>
          </w:tcPr>
          <w:p>
            <w:pPr>
              <w:ind w:left="19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2023</w:t>
            </w:r>
          </w:p>
        </w:tc>
        <w:tc>
          <w:tcPr>
            <w:tcW w:w="380" w:type="dxa"/>
            <w:vAlign w:val="bottom"/>
          </w:tcPr>
          <w:p>
            <w:pPr>
              <w:spacing w:after="0"/>
              <w:rPr>
                <w:sz w:val="10"/>
                <w:szCs w:val="10"/>
                <w:color w:val="auto"/>
              </w:rPr>
            </w:pPr>
          </w:p>
        </w:tc>
        <w:tc>
          <w:tcPr>
            <w:tcW w:w="2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2024</w:t>
            </w:r>
          </w:p>
        </w:tc>
        <w:tc>
          <w:tcPr>
            <w:tcW w:w="360" w:type="dxa"/>
            <w:vAlign w:val="bottom"/>
          </w:tcPr>
          <w:p>
            <w:pPr>
              <w:spacing w:after="0"/>
              <w:rPr>
                <w:sz w:val="10"/>
                <w:szCs w:val="10"/>
                <w:color w:val="auto"/>
              </w:rPr>
            </w:pPr>
          </w:p>
        </w:tc>
        <w:tc>
          <w:tcPr>
            <w:tcW w:w="2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2025</w:t>
            </w: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9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1040" w:type="dxa"/>
            <w:vAlign w:val="bottom"/>
            <w:tcBorders>
              <w:bottom w:val="single" w:sz="8" w:color="auto"/>
            </w:tcBorders>
            <w:gridSpan w:val="2"/>
          </w:tcPr>
          <w:p>
            <w:pPr>
              <w:spacing w:after="0"/>
              <w:rPr>
                <w:sz w:val="2"/>
                <w:szCs w:val="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for</w:t>
            </w: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9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10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6"/>
              </w:rPr>
              <w:t>thousands, except</w:t>
            </w:r>
          </w:p>
        </w:tc>
        <w:tc>
          <w:tcPr>
            <w:tcW w:w="240" w:type="dxa"/>
            <w:vAlign w:val="bottom"/>
            <w:vMerge w:val="continue"/>
          </w:tcPr>
          <w:p>
            <w:pPr>
              <w:spacing w:after="0"/>
              <w:rPr>
                <w:sz w:val="11"/>
                <w:szCs w:val="11"/>
                <w:color w:val="auto"/>
              </w:rPr>
            </w:pPr>
          </w:p>
        </w:tc>
        <w:tc>
          <w:tcPr>
            <w:tcW w:w="1280" w:type="dxa"/>
            <w:vAlign w:val="bottom"/>
          </w:tcPr>
          <w:p>
            <w:pPr>
              <w:jc w:val="right"/>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percentage data)</w:t>
            </w: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99"/>
              </w:rPr>
              <w:t>RMB199,286</w:t>
            </w:r>
          </w:p>
        </w:tc>
        <w:tc>
          <w:tcPr>
            <w:tcW w:w="1280" w:type="dxa"/>
            <w:vAlign w:val="bottom"/>
            <w:gridSpan w:val="3"/>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99"/>
              </w:rPr>
              <w:t>RMB209,034</w:t>
            </w:r>
          </w:p>
        </w:tc>
        <w:tc>
          <w:tcPr>
            <w:tcW w:w="12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RMB251,910</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US$36,022</w:t>
            </w: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w w:val="97"/>
              </w:rPr>
              <w:t>68.7 %</w:t>
            </w:r>
          </w:p>
        </w:tc>
        <w:tc>
          <w:tcPr>
            <w:tcW w:w="680" w:type="dxa"/>
            <w:vAlign w:val="bottom"/>
          </w:tcPr>
          <w:p>
            <w:pPr>
              <w:spacing w:after="0"/>
              <w:rPr>
                <w:sz w:val="20"/>
                <w:szCs w:val="20"/>
                <w:color w:val="auto"/>
              </w:rPr>
            </w:pPr>
          </w:p>
        </w:tc>
        <w:tc>
          <w:tcPr>
            <w:tcW w:w="60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w w:val="97"/>
              </w:rPr>
              <w:t>66.1 %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67.2 %</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decrease in gross margin in 2024 was mainly due to the increase in service cost associated with financial risk management business. The increase in gross margin in 2025 was mainly due to the decrease in short message cost.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expenses, sales and marketing expenses, and general and administrative expenses. The following table breaks down our total operating expenses by these categories, by amounts and as percentages of total operating expenses for each of the periods presented: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tcPr>
          <w:p>
            <w:pPr>
              <w:ind w:left="430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42"/>
        </w:trPr>
        <w:tc>
          <w:tcPr>
            <w:tcW w:w="4420" w:type="dxa"/>
            <w:vAlign w:val="bottom"/>
          </w:tcPr>
          <w:p>
            <w:pPr>
              <w:spacing w:after="0"/>
              <w:rPr>
                <w:sz w:val="12"/>
                <w:szCs w:val="12"/>
                <w:color w:val="auto"/>
              </w:rPr>
            </w:pPr>
          </w:p>
        </w:tc>
        <w:tc>
          <w:tcPr>
            <w:tcW w:w="900" w:type="dxa"/>
            <w:vAlign w:val="bottom"/>
            <w:tcBorders>
              <w:top w:val="single" w:sz="8" w:color="auto"/>
              <w:bottom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r>
      <w:tr>
        <w:trPr>
          <w:trHeight w:val="142"/>
        </w:trPr>
        <w:tc>
          <w:tcPr>
            <w:tcW w:w="4420" w:type="dxa"/>
            <w:vAlign w:val="bottom"/>
          </w:tcPr>
          <w:p>
            <w:pPr>
              <w:ind w:left="43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70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70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  US$</w:t>
            </w:r>
          </w:p>
        </w:tc>
        <w:tc>
          <w:tcPr>
            <w:tcW w:w="78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r>
      <w:tr>
        <w:trPr>
          <w:trHeight w:val="20"/>
        </w:trPr>
        <w:tc>
          <w:tcPr>
            <w:tcW w:w="442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128"/>
        </w:trPr>
        <w:tc>
          <w:tcPr>
            <w:tcW w:w="4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0" w:type="dxa"/>
            <w:vAlign w:val="bottom"/>
            <w:gridSpan w:val="8"/>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for percentage data)</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216"/>
        </w:trPr>
        <w:tc>
          <w:tcPr>
            <w:tcW w:w="44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121,806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104,723</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14,975</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84,900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101,003</w:t>
            </w: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14,443</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39.8</w:t>
            </w:r>
          </w:p>
        </w:tc>
      </w:tr>
      <w:tr>
        <w:trPr>
          <w:trHeight w:val="216"/>
        </w:trPr>
        <w:tc>
          <w:tcPr>
            <w:tcW w:w="44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48,168</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6,888</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w:t>
            </w:r>
          </w:p>
        </w:tc>
      </w:tr>
      <w:tr>
        <w:trPr>
          <w:trHeight w:val="23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250,164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225,164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253,894</w:t>
            </w:r>
          </w:p>
        </w:tc>
        <w:tc>
          <w:tcPr>
            <w:tcW w:w="8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36,306</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research and development expenses mainly consist of payroll and related expenses for personnel engaged in research and development activities, technical service fees paid to third-party service providers for maintaining servers as part of our technology infrastructure, cloud service related cost and depreciation of such servers. We incurred research and development expenses primarily for the development of new services, new features as well as costs associated with new product and technology development and enhancement.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sales and marketing expenses mainly consist of payroll and related expenses for personnel engaged in sales and marketing activities and advertising and other marketing expenses associated with brand and product promotion.</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mainly consist of payroll and related costs for employees involved in general corporate functions, including accounting, finance, tax, legal and human resources, costs associated with the use of facilities and equipment by these functions, including rental and office expenses, professional fees and bad debt provision.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Cayman Islands currently levies no taxes on corporations based upon profits, income, gains or appreciation. There are no other taxes likely to be material to us levied by the government of the Cayman Islands except for stamp duties, which may be applicable on instruments executed in, or after execution, brought within the jurisdiction of the Cayman Islands. In addition, the Cayman Islands does not impose withholding tax on dividend payments.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British Virgin Islands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UA Mobile Limited, our wholly-owned subsidiary in the British Virgin Islands, and all dividends, interest, rents, royalties, compensation and other amounts paid by UA Mobile Limited to persons who are not resident in the British Virgin Islands and any capital gains realized with respect to any shares, debt obligations, or other securities of UA Mobile Limited by persons who are not resident in the British Virgin Islands are exempt from all provisions of the Income Tax Ordinance in the British Virgin Islands.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instruments relating to transfers of property to or by UA Mobile Limited and all instruments relating to transactions in respect of the shares, debt obligations or other securities of the Company and all instruments relating to other transactions relating to the business of the Company are exempt from payment of stamp duty in the British Virgin Islands. This assumes that UA Mobile Limited does not hold an interest in real estate in the British Virgin Islands.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currently no withholding taxes or exchange control regulations in the British Virgin Islands applicable to UA Mobile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Singapore tax laws, our subsidiary in Singapore is subject to 17% income tax rate on any taxable income accruing in or derived from Singapore, or received in Singapore from outside Singapore.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Malaysia</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Malaysia tax laws, our subsidiary in Malaysia is subject to 24% income tax rate on its chargeable income accruing in or derived from Malaysia. Certain of the subsidiary in Malaysia is subject to partial income tax exemptions if certain conditions are met.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Indonesia</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current laws of Indonesia, the Company’s subsidiary incorporated in Indonesia is subject to 22% income tax on its taxable income generated from operations in Indonesia.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Hong Kong income tax rate is two-tiered profits tax regime, under which tax rate is 8.25% or assessable profits on the first HK dollar 2 million and 16.5% or any assessable profits in excess of HK dollar 2 million. Under Hong Kong tax law, our Hong Kong subsidiaries are exempted from Hong Kong income tax on their foreign-derived income. Hong Kong does not impose a withholding tax on dividends.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Mainland China</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Generally, our WFOE, and VIE in mainland China are subject to enterprise income tax on their taxable income in mainland China at a statutory rate of 25%. The enterprise income tax is calculated based on the entity’s global income as determined under mainland China’s tax laws and accounting standards. In addition, the income tax of an enterprise that has been determined to be a high and new technology enterprise can be reduced to a preferential rate of 15%. The VIE obtained the certificate of high and new technology enterprise in December 2022 with a validity period of three years starting December 2022 onwards, and the VIE renewed its certificate of high and new technology enterprise in December 2025, with a valid period of three years commencing in December 2025. The VIE’s subsidiary, Wuhan SendCloud, was classified as “small and micro businesses” in 2023 and 2024, and obtained the HNTE certificate with a validity period of three years commencing in December 2024. Wuhan SendCloud enjoyed a preferential tax rate of 20% with a discount to taxable income for 2023 and 2024, and was entitled to the preferential rate of 15% for 2025. Ifaxin (Hubei) Cloud Computing Co. Ltd. was classified as “small and micro businesses” in 2023, 2024 and 2025 and enjoyed a preferential tax rate of 20% with a discount to taxable income for 2023, 2024 and 2025.</w:t>
      </w:r>
    </w:p>
    <w:p>
      <w:pPr>
        <w:spacing w:after="0" w:line="15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subject to value added tax at a rate of 6% on the services and solutions we provide to customers, less any deductible value-added tax we have already paid or borne. We are also subject to surcharges on value-added tax payments in accordance with the laws of mainland China.</w:t>
      </w:r>
    </w:p>
    <w:p>
      <w:pPr>
        <w:spacing w:after="0" w:line="13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Dividends paid by our WFOE in mainland China to our intermediary holding company in Hong Kong will be subject to a withholding tax rate of 10%, unless the Hong Kong entity satisfies all the requirements under the Arrangement between Mainland China and the Hong Kong Special Administrative Region for the Avoidance of Double Taxation and Tax Evasion on Income and receives approval from the tax authority. If our Hong Kong subsidiary satisfies all the requirements under the tax arrangement and receives approval from the tax authority, then the dividends paid to the Hong Kong subsidiary would be subject to withholding tax at the standard rate of 5%. See “Item 3. Key Information—D. Risk Factors—Risks Related to Doing Business in China—We may rely on dividends and other distributions on equity paid by our mainland China subsidiary to fund any cash and financing requirements we may have, and any limitation on the ability of our mainland China subsidiary to make payments to us could have a material and adverse effect on our ability to conduct our business.”</w:t>
      </w:r>
    </w:p>
    <w:p>
      <w:pPr>
        <w:spacing w:after="0" w:line="16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our holding company in the Cayman Islands or any of our subsidiaries outside of China were deemed to be a “resident enterprise” under the mainland China Enterprise Income Tax Law, it would be subject to enterprise income tax on its worldwide income at a rate of 25%. See “Item 3. Key Information—D. Risk Factors—Risks Related to Doing Business in China—If we are classified as a mainland China resident enterprise for income tax purposes, such classification could result in unfavorable tax consequences to us and our non-mainland-China shareholders or ADS holders.”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years presented, both in absolute amount and as a percentage of our total revenues for the years presented. Our business has grown rapidly in recent years. Year-to-year comparisons of historical results of operations should not be relied upon as indicative of future performance.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1620" w:type="dxa"/>
            <w:vAlign w:val="bottom"/>
            <w:gridSpan w:val="2"/>
          </w:tcPr>
          <w:p>
            <w:pPr>
              <w:ind w:left="150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9"/>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42"/>
        </w:trPr>
        <w:tc>
          <w:tcPr>
            <w:tcW w:w="24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4"/>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4"/>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r>
      <w:tr>
        <w:trPr>
          <w:trHeight w:val="142"/>
        </w:trPr>
        <w:tc>
          <w:tcPr>
            <w:tcW w:w="2480" w:type="dxa"/>
            <w:vAlign w:val="bottom"/>
          </w:tcPr>
          <w:p>
            <w:pPr>
              <w:spacing w:after="0"/>
              <w:rPr>
                <w:sz w:val="12"/>
                <w:szCs w:val="12"/>
                <w:color w:val="auto"/>
              </w:rPr>
            </w:pPr>
          </w:p>
        </w:tc>
        <w:tc>
          <w:tcPr>
            <w:tcW w:w="1620" w:type="dxa"/>
            <w:vAlign w:val="bottom"/>
            <w:gridSpan w:val="2"/>
          </w:tcPr>
          <w:p>
            <w:pPr>
              <w:ind w:left="15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900" w:type="dxa"/>
            <w:vAlign w:val="bottom"/>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24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9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84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  US$</w:t>
            </w:r>
          </w:p>
        </w:tc>
        <w:tc>
          <w:tcPr>
            <w:tcW w:w="2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28"/>
        </w:trPr>
        <w:tc>
          <w:tcPr>
            <w:tcW w:w="24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(in thousands,</w:t>
            </w:r>
          </w:p>
        </w:tc>
        <w:tc>
          <w:tcPr>
            <w:tcW w:w="160" w:type="dxa"/>
            <w:vAlign w:val="bottom"/>
            <w:gridSpan w:val="2"/>
          </w:tcPr>
          <w:p>
            <w:pPr>
              <w:spacing w:after="0"/>
              <w:rPr>
                <w:sz w:val="11"/>
                <w:szCs w:val="11"/>
                <w:color w:val="auto"/>
              </w:rPr>
            </w:pPr>
          </w:p>
        </w:tc>
        <w:tc>
          <w:tcPr>
            <w:tcW w:w="68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except for</w:t>
            </w:r>
          </w:p>
        </w:tc>
        <w:tc>
          <w:tcPr>
            <w:tcW w:w="140" w:type="dxa"/>
            <w:vAlign w:val="bottom"/>
            <w:gridSpan w:val="2"/>
          </w:tcPr>
          <w:p>
            <w:pPr>
              <w:spacing w:after="0"/>
              <w:rPr>
                <w:sz w:val="11"/>
                <w:szCs w:val="11"/>
                <w:color w:val="auto"/>
              </w:rPr>
            </w:pPr>
          </w:p>
        </w:tc>
        <w:tc>
          <w:tcPr>
            <w:tcW w:w="780" w:type="dxa"/>
            <w:vAlign w:val="bottom"/>
            <w:tcBorders>
              <w:top w:val="single" w:sz="8" w:color="auto"/>
            </w:tcBorders>
          </w:tcPr>
          <w:p>
            <w:pPr>
              <w:jc w:val="right"/>
              <w:ind w:right="55"/>
              <w:spacing w:after="0" w:line="129" w:lineRule="exact"/>
              <w:rPr>
                <w:sz w:val="20"/>
                <w:szCs w:val="20"/>
                <w:color w:val="auto"/>
              </w:rPr>
            </w:pPr>
            <w:r>
              <w:rPr>
                <w:rFonts w:ascii="Times New Roman" w:cs="Times New Roman" w:eastAsia="Times New Roman" w:hAnsi="Times New Roman"/>
                <w:sz w:val="14"/>
                <w:szCs w:val="14"/>
                <w:b w:val="1"/>
                <w:bCs w:val="1"/>
                <w:color w:val="auto"/>
                <w:w w:val="82"/>
              </w:rPr>
              <w:t>percentages)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r>
      <w:tr>
        <w:trPr>
          <w:trHeight w:val="216"/>
        </w:trPr>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290,232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316,170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374,847</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410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Cost of revenues</w:t>
            </w:r>
            <w:r>
              <w:rPr>
                <w:rFonts w:ascii="Times New Roman" w:cs="Times New Roman" w:eastAsia="Times New Roman" w:hAnsi="Times New Roman"/>
                <w:sz w:val="25"/>
                <w:szCs w:val="25"/>
                <w:color w:val="auto"/>
                <w:vertAlign w:val="superscript"/>
              </w:rPr>
              <w:t>(1)</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(90,946)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(107,136)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(122,937)</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(17,580)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16"/>
        </w:trPr>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199,286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209,034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251,910</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16"/>
        </w:trPr>
        <w:tc>
          <w:tcPr>
            <w:tcW w:w="410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Operating expenses:</w:t>
            </w:r>
            <w:r>
              <w:rPr>
                <w:rFonts w:ascii="Times New Roman" w:cs="Times New Roman" w:eastAsia="Times New Roman" w:hAnsi="Times New Roman"/>
                <w:sz w:val="25"/>
                <w:szCs w:val="25"/>
                <w:b w:val="1"/>
                <w:bCs w:val="1"/>
                <w:color w:val="auto"/>
                <w:vertAlign w:val="superscript"/>
              </w:rPr>
              <w:t>(1)</w:t>
            </w: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(121,806)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(42.0)</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(94,816)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(104,723)</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(82,705)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(84,900)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(101,003)</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(14,443)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16"/>
        </w:trPr>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(45,653)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(45,448)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(48,168)</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0"/>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(250,164)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(225,164)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(253,894)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(36,306)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(67.7)</w:t>
            </w:r>
          </w:p>
        </w:tc>
      </w:tr>
      <w:tr>
        <w:trPr>
          <w:trHeight w:val="216"/>
        </w:trPr>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(Loss)/income from operations</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(40,517)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(14.0)</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(9,901)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706</w:t>
            </w:r>
          </w:p>
        </w:tc>
        <w:tc>
          <w:tcPr>
            <w:tcW w:w="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r>
      <w:tr>
        <w:trPr>
          <w:trHeight w:val="216"/>
        </w:trPr>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loss/(income), net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 of loss from equity method investment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(loss)/income</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(23,991)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Gains from fair value change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0"/>
        </w:trPr>
        <w:tc>
          <w:tcPr>
            <w:tcW w:w="40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(Loss)/Income before income taxes</w:t>
            </w:r>
          </w:p>
        </w:tc>
        <w:tc>
          <w:tcPr>
            <w:tcW w:w="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(64,554)</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(6,659)</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2,647</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r>
      <w:tr>
        <w:trPr>
          <w:trHeight w:val="216"/>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 benefits/(expenses)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4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(62,668)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(21.6)</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(6,769)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2,574</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r>
      <w:tr>
        <w:trPr>
          <w:trHeight w:val="178"/>
        </w:trPr>
        <w:tc>
          <w:tcPr>
            <w:tcW w:w="406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Less: net (loss)/income attributable to noncontrolling</w:t>
            </w:r>
          </w:p>
        </w:tc>
        <w:tc>
          <w:tcPr>
            <w:tcW w:w="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r>
      <w:tr>
        <w:trPr>
          <w:trHeight w:val="234"/>
        </w:trPr>
        <w:tc>
          <w:tcPr>
            <w:tcW w:w="41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interests and redeemable noncontrolling interests</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194"/>
        </w:trPr>
        <w:tc>
          <w:tcPr>
            <w:tcW w:w="410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(loss)/income attributable to Aurora Mobile</w:t>
            </w: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38"/>
        </w:trPr>
        <w:tc>
          <w:tcPr>
            <w:tcW w:w="41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Limited’s shareholders</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(62,098)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(21.4)</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(7,046)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w:t>
            </w:r>
          </w:p>
        </w:tc>
        <w:tc>
          <w:tcPr>
            <w:tcW w:w="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r>
      <w:tr>
        <w:trPr>
          <w:trHeight w:val="115"/>
        </w:trPr>
        <w:tc>
          <w:tcPr>
            <w:tcW w:w="2480" w:type="dxa"/>
            <w:vAlign w:val="bottom"/>
            <w:tcBorders>
              <w:bottom w:val="single" w:sz="8" w:color="auto"/>
            </w:tcBorders>
          </w:tcPr>
          <w:p>
            <w:pPr>
              <w:spacing w:after="0"/>
              <w:rPr>
                <w:sz w:val="10"/>
                <w:szCs w:val="10"/>
                <w:color w:val="auto"/>
              </w:rPr>
            </w:pPr>
          </w:p>
        </w:tc>
        <w:tc>
          <w:tcPr>
            <w:tcW w:w="15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225" w:lineRule="exact"/>
        <w:rPr>
          <w:sz w:val="20"/>
          <w:szCs w:val="20"/>
          <w:color w:val="auto"/>
        </w:rPr>
      </w:pPr>
    </w:p>
    <w:p>
      <w:pPr>
        <w:ind w:left="440" w:hanging="432"/>
        <w:spacing w:after="0"/>
        <w:tabs>
          <w:tab w:leader="none" w:pos="4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expenses are allocated in cost of revenues and operating expenses items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40" w:type="dxa"/>
            <w:vAlign w:val="bottom"/>
          </w:tcPr>
          <w:p>
            <w:pPr>
              <w:ind w:left="54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7"/>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40" w:type="dxa"/>
            <w:vAlign w:val="bottom"/>
            <w:vMerge w:val="restart"/>
          </w:tcPr>
          <w:p>
            <w:pPr>
              <w:ind w:left="54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40" w:type="dxa"/>
            <w:vAlign w:val="bottom"/>
            <w:vMerge w:val="continue"/>
          </w:tcPr>
          <w:p>
            <w:pPr>
              <w:spacing w:after="0"/>
              <w:rPr>
                <w:sz w:val="12"/>
                <w:szCs w:val="12"/>
                <w:color w:val="auto"/>
              </w:rPr>
            </w:pPr>
          </w:p>
        </w:tc>
        <w:tc>
          <w:tcPr>
            <w:tcW w:w="90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vMerge w:val="continue"/>
          </w:tcPr>
          <w:p>
            <w:pPr>
              <w:spacing w:after="0"/>
              <w:rPr>
                <w:sz w:val="12"/>
                <w:szCs w:val="12"/>
                <w:color w:val="auto"/>
              </w:rPr>
            </w:pPr>
          </w:p>
        </w:tc>
        <w:tc>
          <w:tcPr>
            <w:tcW w:w="92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vMerge w:val="continue"/>
          </w:tcPr>
          <w:p>
            <w:pPr>
              <w:spacing w:after="0"/>
              <w:rPr>
                <w:sz w:val="12"/>
                <w:szCs w:val="12"/>
                <w:color w:val="auto"/>
              </w:rPr>
            </w:pPr>
          </w:p>
        </w:tc>
        <w:tc>
          <w:tcPr>
            <w:tcW w:w="90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4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5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7,957</w:t>
            </w: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2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09"/>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11,574</w:t>
            </w: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4,225</w:t>
            </w: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3,684</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527</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4820"/>
              <w:spacing w:after="0"/>
              <w:rPr>
                <w:sz w:val="20"/>
                <w:szCs w:val="20"/>
                <w:color w:val="auto"/>
              </w:rPr>
            </w:pPr>
            <w:r>
              <w:rPr>
                <w:rFonts w:ascii="Times New Roman" w:cs="Times New Roman" w:eastAsia="Times New Roman" w:hAnsi="Times New Roman"/>
                <w:sz w:val="18"/>
                <w:szCs w:val="18"/>
                <w:color w:val="auto"/>
              </w:rPr>
              <w:t>109</w:t>
            </w: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5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5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revenues increased by 19% from RMB316.2 million in 2024 to RMB374.8 million (US$53.6 million) in 2025. The increase was attributable to a 16% increase in revenue from Developer Services and a 24% increase in revenue from Vertical Applications. The increase was a result of both the growth of demand and the increase in the number of customers.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cost of revenues increased by 15% from RMB107.1 million in 2024 to RMB122.9 million (US$17.6 million) in 2025. The increase was mainly due to a RMB7.7 million increase in media cost, a RMB9.6 million increase in technical service cost, a RMB2.6 million increase in cloud service related cost, and a RMB3.3 million increase in other direct costs. The impact is partially offset by a RMB7.4 million decrease in short message cost.</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gross profit increased by 21% from RMB209.0 million in 2024 to RMB251.9 million (US$36.0 million) in 2025, mainly due to the revenue growth in all business lines.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increased by 10% from RMB94.8 million in 2024 to RMB104.7 million (US$15.0 million) in 2025. The increase was primarily due to a RMB5.6 million increase in personnel costs, a RMB3.2 million increase in technical service expense, and a RMB1.6 million increase in cloud service related cost.</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sales and marketing expenses increased by 19% from RMB84.9 million in 2024 to RMB101.0 million (US$14.4 million) in 2025. The increase was primarily due to a RMB12.1 million increase in personnel costs, a RMB2.2 million increase in marketing expenses, and a RMB1.0 million increase in travel and entertainment expenses.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increased by 6% from RMB45.4 million in 2024 to RMB48.2 million (US$6.9 million) in 2025. The marginal increase was primarily due to a RMB2.3 million increase in personnel costs, a RMB1.9 million increase in bad debt provision. The impact is partially offset by a RMB2.2 million decrease in professional expenses.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Net income/(loss)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foregoing, we recorded a net income of RMB2.6 million (US$0.4 million) for the year ended December 31, 2025, compared to a net loss of RMB6.8 million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Year Ended December 31, 2023</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revenues increased by 9% from RMB290.2 million in 2023 to RMB316.2 million in 2024. The increase was attributable to a 12% increase in revenue from our developer services and a 1% increase in revenue from vertical applications. The increase was a result of both the growth of demand and the increase in the number of customers.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cost of revenues increased by 18% from RMB90.9 million in 2023 to RMB107.1 million in 2024. The increase was mainly due to a RMB7.7 million increase in technical service cost, a RMB3.4 million increase in short message cost, a RMB1.7 million increase in cloud cost and a RMB1.3 million increase in media cost.</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gross profit increased by 5% from RMB199.3 million in 2023 to RMB209.0 million in 2024, mainly due to the revenue growth in all business lines.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decreased by 22% from RMB121.8 million in 2023 to RMB94.8 million in 2024. The decrease was primarily due to a RMB15.5 million decrease in personnel costs, a RMB8.5 million decrease in bandwidth cost, a RMB4.9 million decrease in depreciation expense and a RMB3.9 million decrease in technical service expense. The impact is partially offset by a RMB7.1 million increase in cloud cost.</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sales and marketing expenses increased by 3% from RMB82.7 million in 2023 to RMB84.9 million in 2024. The increase was primarily due to a RMB1.7 million increase in travel and entertainment expenses and a RMB1.3 million increase in personnel costs. The impact is partially offset by a RMB0.4 million decrease in depreciation expense.</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decreased by 0.4% from RMB45.7 million in 2023 to RMB45.4 million in 2024. The marginal decrease was primarily due to a RMB7.3 million decrease in personnel costs and a RMB1.1 million decrease in amortization expense. The impact is partially offset by a onetime RMB7.6 million gain on disposal of property and equipment in 2023.</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foregoing, we recorded a net loss of RMB6.8 million for the year ended December 31, 2024, compared to a net loss of RMB62.7 million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generate SAAS Business revenue primarily from developer services and vertical applications. For developer services, there are three types contracts, subscription-based contracts and project-based contracts and consumption-based contracts. We primarily enter into subscription-based contracts with our customers to provide push notification or instant messaging (collectively “notification services”), which we provide our customers with access to our notification services platform. This enables customers to send notifications and messages to users. The nature of our performance obligation is a single performance obligation with a fixed transaction price based on subscription fees. We generally recognize revenue ratably over time under the subscription-based contracts, because the customer simultaneously receives and consumes the benefits as we provide subscription services throughout a fixed contract term. We use an output method of progress based on fixed contract term as it best depicts the transfer of control to the customer.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primarily enter into consumption-based contracts with its customers to provide short message services (“SMS”), one-click verification services, email services and value-added services. For SMS, we enable customers to send short messages to users for developer-user communication and authentication. For one-click verification services, we enable users to verify the cellphone number of users without verification code after integrating the one-click verification SDK. For email services, the Company enables the customers to send emails to users. Customers pay for SMS, one-click verification and email services based on the pre-agreed rate per message or email and the number of messages or email delivered. We act as the principal in the SMS, one-click verification and email services in which we have control over the fulfillment of services. We recognize revenue on a gross basis and at the point in time when messages delivered. For value-added services, we provided advertising services by connecting advertisers and APP developers, who are the suppliers of avenue where the ads will be displayed. We enter into contractual arrangements with advertisers that stipulate the types of advertising to be delivered and priced. Advertising customers pay for the value-added service primarily based on several basis, including cost-per-action (“CPA”) basis, cost-per-mille (“CPM”), cost-per-sale (“CPS”) and cost-per-click (“CPC”) basis. All of the contractual arrangements’ duration is less than one year. We act as the principal in the value-added services in which we have control over the fulfillment of the service and discretion in establishing price. Accordingly, we recognize revenue on a gross basis and at a point in time once agreed actions are performed.</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primarily enter into project-based contracts with our customers to provide private cloud-based developer services, which are designed to provide customizable services to customers who want a more controlled software environment and more comprehensive technology and customer support. We provide our customers one combined performance obligation including customized APP push notification system or instant messaging system and related system training services as both performance obligations are incapable of being distinct because the customer cannot derive economic benefit from the related system training services on its own. Meanwhile, we also provide post contract assurance-type maintenance services, which usually have a duration of one year. The transaction price is fixed based on the signed contract consideration. Under ASC 606, we recognize revenue at the point in time when the system is implemented, and the training service is provided, which is represented by the customer acceptance received by us.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vertical applications, we enter into agreements with our customers to provide data analytic solutions and there are three types contracts, subscription-based contracts, project-based contracts and consumption-based contracts. We primarily enter into subscription-based contracts with our customers to provide customizable service packages for a fixed contract term, which allows the customers to subscribe a fixed number of apps to obtain unlimited volume of queries to our analytic results. The nature of our performance obligation is a single performance obligation with a fixed transaction price based on subscription fees. We generally recognize revenue ratably over time under the subscription-based contracts, because the customer simultaneously receives and consumes the benefits as we provide subscription services throughout a fixed contract term.</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primarily enter into project-based contracts with our customers to provide in-depth analytics services and generate customized reports based on the customers’ specific requirements. The nature of our performance obligation is a single performance obligation with a fixed transaction price based on the signed contract consideration. We recognize revenue at the point in time when the customized reports are provided.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primarily enter into consumption-based contracts with our customers to process the queries or provide features based on the customers’ requirements. The nature of our performance obligation is a single performance obligation, and the transaction price is determined based on the pre-agreed rate per query and the number of queries delivered. When we receive a placed order, we recognize revenue at a point in time when the queries are processed, or the features are utilized by the customers.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certain arrangements, customers are required to pay before the services are delivered. For other arrangements, we provided customers with a credit term under six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 recognition related policies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customers. Some customers are required to pay before the services are delivered to the customer. When either party to a revenue contract has performed, we recognize a contract asset or a contract liability on the consolidated balance sheet, depending on the relationship between our performance and the customer’s payment.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Contract assets represent amounts related to our rights to consideration received for private-cloud-based service and are included in “Prepayments and other current assets” on the consolidated balance sheets.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Contract liabilities are mainly related to fees for services to be provided over the service period, which are presented as “Deferred revenue and customer deposits” on the consolidated balance sheets.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Customer deposits relate to customer’s unused balances that are refundable. Once this balance is utilized by the customer, the corresponding amount would be recognized as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 without readily determinable fair value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account for investments in an investee over which we do not have significant influence and which do not have readily determinable fair value using the measurement alternative, which is defined as cost, less impairments, plus or minus changes resulting from observable price changes in orderly transactions for identical or similar investments of the same issuer, if any. We make a qualitative assessment considering impairment indicators to evaluate whether an investment is impaired at each reporting date. Impairment indicators considered include, but are not limited to, a significant deterioration in the earnings performance or business prospects of the investee, including factors that raise significant concern about the investee’s ability to continue as a going concern, a significant adverse change in the regulatory, economic or technological environment of the investee, and a significant adverse change in the general market condition of the industry in which the investee operates. If a qualitative assessment indicates that the investment is impaired, we estimate the investment’s fair value in accordance with the principles of ASC 820. If the fair value is less than the investment’s carrying value, we have to recognize an impairment loss equal to the difference between the carrying value and fair value.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discuss recently adopted and issued accounting standards in Note 2, “Summary of Significant Accounting Policies— Recently issued accounting pronouncements” of the notes to our consolidated financial statements.</w:t>
      </w:r>
    </w:p>
    <w:p>
      <w:pPr>
        <w:spacing w:after="0" w:line="158"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movements of our cash flows for the years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80" w:type="dxa"/>
            <w:vAlign w:val="bottom"/>
          </w:tcPr>
          <w:p>
            <w:pPr>
              <w:ind w:left="6220"/>
              <w:spacing w:after="0"/>
              <w:rPr>
                <w:sz w:val="20"/>
                <w:szCs w:val="20"/>
                <w:color w:val="auto"/>
              </w:rPr>
            </w:pPr>
            <w:r>
              <w:rPr>
                <w:rFonts w:ascii="Times New Roman" w:cs="Times New Roman" w:eastAsia="Times New Roman" w:hAnsi="Times New Roman"/>
                <w:sz w:val="14"/>
                <w:szCs w:val="14"/>
                <w:b w:val="1"/>
                <w:bCs w:val="1"/>
                <w:color w:val="auto"/>
              </w:rPr>
              <w:t>​​​</w:t>
            </w:r>
          </w:p>
        </w:tc>
        <w:tc>
          <w:tcPr>
            <w:tcW w:w="2900" w:type="dxa"/>
            <w:vAlign w:val="bottom"/>
            <w:gridSpan w:val="10"/>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6380" w:type="dxa"/>
            <w:vAlign w:val="bottom"/>
          </w:tcPr>
          <w:p>
            <w:pPr>
              <w:spacing w:after="0"/>
              <w:rPr>
                <w:sz w:val="12"/>
                <w:szCs w:val="12"/>
                <w:color w:val="auto"/>
              </w:rPr>
            </w:pPr>
          </w:p>
        </w:tc>
        <w:tc>
          <w:tcPr>
            <w:tcW w:w="680" w:type="dxa"/>
            <w:vAlign w:val="bottom"/>
            <w:tcBorders>
              <w:top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5"/>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6380" w:type="dxa"/>
            <w:vAlign w:val="bottom"/>
          </w:tcPr>
          <w:p>
            <w:pPr>
              <w:ind w:left="62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14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4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r>
      <w:tr>
        <w:trPr>
          <w:trHeight w:val="20"/>
        </w:trPr>
        <w:tc>
          <w:tcPr>
            <w:tcW w:w="63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8"/>
        </w:trPr>
        <w:tc>
          <w:tcPr>
            <w:tcW w:w="6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4"/>
          </w:tcPr>
          <w:p>
            <w:pPr>
              <w:jc w:val="right"/>
              <w:ind w:right="328"/>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6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Consolidated Cash Flow Data:</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(17,907)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64,885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9,280</w:t>
            </w:r>
          </w:p>
        </w:tc>
        <w:tc>
          <w:tcPr>
            <w:tcW w:w="20" w:type="dxa"/>
            <w:vAlign w:val="bottom"/>
          </w:tcPr>
          <w:p>
            <w:pPr>
              <w:spacing w:after="0"/>
              <w:rPr>
                <w:sz w:val="18"/>
                <w:szCs w:val="18"/>
                <w:color w:val="auto"/>
              </w:rPr>
            </w:pPr>
          </w:p>
        </w:tc>
      </w:tr>
      <w:tr>
        <w:trPr>
          <w:trHeight w:val="216"/>
        </w:trPr>
        <w:tc>
          <w:tcPr>
            <w:tcW w:w="6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25,126</w:t>
            </w: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(5,375)</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20" w:type="dxa"/>
            <w:vAlign w:val="bottom"/>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(8,651)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4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(8,047)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0" w:type="dxa"/>
            <w:vAlign w:val="bottom"/>
          </w:tcPr>
          <w:p>
            <w:pPr>
              <w:spacing w:after="0"/>
              <w:rPr>
                <w:sz w:val="18"/>
                <w:szCs w:val="18"/>
                <w:color w:val="auto"/>
              </w:rPr>
            </w:pPr>
          </w:p>
        </w:tc>
      </w:tr>
      <w:tr>
        <w:trPr>
          <w:trHeight w:val="216"/>
        </w:trPr>
        <w:tc>
          <w:tcPr>
            <w:tcW w:w="6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on cash and cash equivalents and restricted cash</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 and restricted cash</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48,792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20" w:type="dxa"/>
            <w:vAlign w:val="bottom"/>
          </w:tcPr>
          <w:p>
            <w:pPr>
              <w:spacing w:after="0"/>
              <w:rPr>
                <w:sz w:val="18"/>
                <w:szCs w:val="18"/>
                <w:color w:val="auto"/>
              </w:rPr>
            </w:pPr>
          </w:p>
        </w:tc>
      </w:tr>
      <w:tr>
        <w:trPr>
          <w:trHeight w:val="216"/>
        </w:trPr>
        <w:tc>
          <w:tcPr>
            <w:tcW w:w="6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the beginning of year or period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116,260</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115,007</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119,547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17,094</w:t>
            </w:r>
          </w:p>
        </w:tc>
        <w:tc>
          <w:tcPr>
            <w:tcW w:w="20" w:type="dxa"/>
            <w:vAlign w:val="bottom"/>
          </w:tcPr>
          <w:p>
            <w:pPr>
              <w:spacing w:after="0"/>
              <w:rPr>
                <w:sz w:val="18"/>
                <w:szCs w:val="18"/>
                <w:color w:val="auto"/>
              </w:rPr>
            </w:pPr>
          </w:p>
        </w:tc>
      </w:tr>
      <w:tr>
        <w:trPr>
          <w:trHeight w:val="23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the end of the year or period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115,007</w:t>
            </w:r>
          </w:p>
        </w:tc>
        <w:tc>
          <w:tcPr>
            <w:tcW w:w="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119,547</w:t>
            </w:r>
          </w:p>
        </w:tc>
        <w:tc>
          <w:tcPr>
            <w:tcW w:w="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168,339</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24,072</w:t>
            </w:r>
          </w:p>
        </w:tc>
        <w:tc>
          <w:tcPr>
            <w:tcW w:w="20" w:type="dxa"/>
            <w:vAlign w:val="bottom"/>
          </w:tcPr>
          <w:p>
            <w:pPr>
              <w:spacing w:after="0"/>
              <w:rPr>
                <w:sz w:val="20"/>
                <w:szCs w:val="20"/>
                <w:color w:val="auto"/>
              </w:rPr>
            </w:pPr>
          </w:p>
        </w:tc>
      </w:tr>
    </w:tbl>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had net cash used in operating activities of RMB17.9 million for the year ended December 31, 2023, net cash provided by operating activities of RMB8.5 million for the year ended December 31, 2024, and net cash provided by operating activities of RMB64.9 million (US$9.3 million) for the year ended December 31, 2025. Our operating cash flow is affected by the changes in our accounts receivable, accounts payable, deferred revenue and customer deposits, operating lease liabilities, prepayments and other current assets, and accrued liabilities and other current liabilities.</w:t>
      </w:r>
    </w:p>
    <w:p>
      <w:pPr>
        <w:spacing w:after="0" w:line="1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accounts receivable represent primarily accounts receivable from the customers that purchased our SAAS Businesses. As of December 31, 2023, 2024 and 2025, our accounts receivable, net of allowance for credit loss, were RMB34.3 million, RMB50.8 million and RMB43.2 million (US$6.2 million),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accounts receivable turnover days increased from 40 days in 2023 to 48 days in 2024 and decreased to 45 days in 2025. The increase in 2024 was due to our granting of longer payment terms to several customers. The decrease in 2025 was due to our disciplined accounting policy and cash collecting efforts which enabled a timely collection of our accounts receivables. Accounts receivable turnover days for a given period are equal to average balances of accounts receivable, net of allowance for credit loss, at the beginning and the end of the period divided by total revenues during the period and multiplied by the number of days during the period.</w:t>
      </w:r>
    </w:p>
    <w:p>
      <w:pPr>
        <w:spacing w:after="0" w:line="1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accounts payable represent primarily accounts payable to suppliers associated with developer service. As of December 31, 2023, 2024 and 2025, our accounts payable were RMB21.1 million, RMB32.7 million and RMB39.4 million (US$5.6 million), respectively. The increase of accounts payable from 2023 to 2024 was mainly due to the increase in purchase of technical service for financial risk management business. The increase of accounts payable from 2024 to 2025 was mainly due to the increase in purchase of technical service for financial risk management business. Our accounts payable turnover days increased from 82 days in 2023 to 93 days in 2024, and further increased to 107 days in 2025, primarily because we were able to negotiate for better payment terms with our suppliers. Accounts payable turnover days for a given period are equal to average accounts payable balances at the beginning and the end of the period divided by total cost of revenues (excluding depreciation, amortization and personnel cost) during the period and multiplied by the number of days during the period.</w:t>
      </w:r>
    </w:p>
    <w:p>
      <w:pPr>
        <w:spacing w:after="0" w:line="1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deferred revenue represents the cash payments made by our customers in advance of our provision of the SAAS Businesses they purchased from us, and our customer deposits represent the refundable cash deposits paid by our customers to us primarily in connection with our developer service and vertical applications. Our deferred revenue and customer deposits increased from RMB141.5 million as of December 31, 2023 to RMB147.1 million as of December 31, 2024, and increased to RMB178.7 million (US$25.5 million) as of December 31, 2025, primarily due to the growth in our developer service business in 2025.</w:t>
      </w:r>
    </w:p>
    <w:p>
      <w:pPr>
        <w:spacing w:after="0" w:line="1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prepayments and other current assets represent primarily prepaid media cost, prepaid service fee and others. Prepayments and other current assets decreased from RMB20.2 million as of December 31, 2023 to RMB14.3 million as of December 31, 2024, primarily due to the decrease in prepaid cloud service cost and the recovery of rental deposit upon the expiration of the lease. Prepayments and other current assets increased to RMB15.3 million (US$2.2 million) as of December 31, 2025, primarily due to the increase in prepaid direct costs for one-time password services.</w:t>
      </w:r>
    </w:p>
    <w:p>
      <w:pPr>
        <w:spacing w:after="0" w:line="1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accrued liabilities and other current liabilities represent primarily accrued payroll and welfare payables, professional fees and others. Our accrued liabilities and other current liabilities marginally decreased from RMB74.7 million as of December 31, 2023 to RMB74.4 million as of December 31, 2024. Our accrued liabilities and other current liabilities increased to RMB80.9 million (US$11.6 million) as of December 31, 2025, primarily due to the increase in employee payroll. Our primary sources of liquidity have been proceeds from equity and equity linked financing and net cash provided by operating activities. As of December 31, 2025, we had RMB173.4 million (US$24.8 million) in cash and cash equivalents, restricted cash and short-term investment, of which approximately 48.5% were held in Renminbi, approximately 47.9% were held in U.S. dollars and the remainder was held in Singapore dollars, H.K. dollars, Malaysian Ringgit and Japanese Yen.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major financings and borrowings in the years ended December 31, 2023, 2024 and 2025 include:</w:t>
      </w:r>
    </w:p>
    <w:p>
      <w:pPr>
        <w:spacing w:after="0" w:line="225" w:lineRule="exact"/>
        <w:rPr>
          <w:sz w:val="20"/>
          <w:szCs w:val="20"/>
          <w:color w:val="auto"/>
        </w:rPr>
      </w:pPr>
    </w:p>
    <w:p>
      <w:pPr>
        <w:jc w:val="both"/>
        <w:ind w:left="1000" w:right="20" w:hanging="317"/>
        <w:spacing w:after="0" w:line="261"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12, 2024, we entered into a term loan agreement with Shenzhen Zhongxiaodan Micro Credit Co., Ltd. Under the loan agreement, Shenzhen Zhongxiaodan Micro Credit Co., Ltd. agreed to provide us with a one-year RMB3.0 million term loan facility, which bears a fixed interest rate of 4.9% per annum. The use of proceeds of the facility is for general corporate purpose. We repaid the loan in March 2025.</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14, 2025, we entered into an at market issuance sales agreement with China Renaissance Securities (Hong Kong) Limited with respect to an at-the-market sales program under which we may offer and sell, from time to time at our sole discretion, up to an aggregate of US$8,000,000 of ADSs through China Renaissance Securities (Hong Kong) Limited as our sales agent. We have sold 22,227 ADSs for aggregate gross proceeds of US$220.3 thousand under the ATM Offering Program as of the date of this annual report.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our cash and cash equivalents on hand will be sufficient to meet our current and anticipated needs for general corporate purposes for at least the next 12 months. We may, however, need additional cash resources in the future if we experience changes in business conditions or other developments. We may also need additional cash resources in the future if we find and wish to pursue opportunities for investment, acquisition, capital expenditure or similar actions. If we determine that our cash requirements exceed the amount of cash and cash equivalents we have on hand, we may seek to issue equity or equity linked securities or obtain debt financing.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consolidate the results of the VIE, we only have access to the assets or earnings of the VIE through our contractual arrangements with the VIE and its shareholders. See “Item 4. Information on the Company—C. Organizational Structure.” For restrictions and limitations on liquidity and capital resources as a result of our corporate structure, see “Item 5. Operating and Financial Review and Prospects—B. Liquidity and Capital Resources—Holding Company Structure.”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significant majority of our revenues have been, and we expect they are likely to continue to be, in the form of Renminbi. Under existing foreign exchange regulations of mainland China,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mainland China subsidiary is allowed to pay dividends in foreign currencies to us without prior SAFE approval by following certain routine procedural requirements. However, current regulations of mainland China permit our mainland China subsidiary to pay dividends to us only out of its accumulated profits, if any, determined in accordance with mainland China’s accounting standards and regulations. Our mainland China subsidiary is required to set aside at least 10% of its after-tax profits after making up previous years’ accumulated losses each year, if any, to fund certain reserve funds until the total amount set aside reaches 50% of its registered capital. These reserves are not distributable as cash dividends. Historically, our mainland China subsidiary has not paid dividends to us, and it will not be able to pay dividends until it generates accumulated profits. Furthermore, capital account transactions, which include foreign direct investment and loans, must be approved by and/or registered with the SAFE, its local branches and certain local banks.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in 2025 was RMB64.9 million (US$9.3 million). The principal items accounting for the difference between our net cash provided by operating activities and our net income of RMB2.6 million (US$0.4 million) were (i) non-cash items including depreciation of property and equipment of RMB0.9 million (US$0.1 million), amortization of intangible assets of RMB4.2 million (US$0.6 million), lease expense to reduce right-of-use assets of RMB5.1 million (US$0.7 million), deferred tax benefits of RMB1.1 million (US$0.2 million), credit losses for accounts receivable of RMB3.3 million (US$0.5 million), loss on disposal of property and equipment of RMB0.7 million (US$0.1 million), and share-based compensation expenses of RMB3.7 million (US$0.5 million), and (ii) change in working capital including a decrease in accounts receivable of RMB4.3 million (US$0.6 million), an increase in accounts payable of RMB6.7 million (US$1.0 million), an increase in deferred revenue and customer deposits of RMB31.5 million (US$4.5 million), a decrease in operating lease liabilities of RMB5.3 million (US$0.8 million), and an increase in accrued liabilities and other current liabilities of RMB6.6M (US$0.9 million).</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in 2024 was RMB8.5 million. The principal items accounting for the difference between our net cash provided by operating activities and our net loss of RMB6.8 million were (i) non-cash items including depreciation of property and equipment of RMB1.3 million, amortization of intangible assets of RMB4.6 million, share-based compensation expenses of RMB4.2 million, and credit losses for accounts receivable of RMB1.4 million, and (ii) change in working capital including an increase in accounts receivable of RMB17.8 million, a decrease in prepayments and other current assets of RMB6.0 million, an increase in other non-current assets of RMB1.0 million, an increase in accounts payable of RMB11.6 million, and an increase in deferred revenue and customer deposits of RMB5.6 million.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in 2023 was RMB17.9 million. The principal items accounting for the difference between our net cash used in operating activities and our net loss of RMB62.7 million were (i) non-cash items including depreciation of property and equipment of RMB5.3 million, gain on disposal of property and equipment of RMB8.1 million, share-based compensation expenses of RMB11.6 million, lease expense to reduce right-of-use assets of RMB8.0 million, impairment of long-term investments of RMB8.5 million, disposal loss of long-term investment of RMB10.8 million, amortization of intangible assets of RMB6.2 million and credit loss of loans receivable of RMB6.6 million, and (ii) change in working capital including a decrease in prepayments and other current assets of RMB6.1 million, a decrease in accounts payable of RMB2.9 million, an increase in accounts receivable of RMB5.8 million, an increase in other non-current assets of RMB3.2 million and an increase in other non-current liabilities of RMB3.7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2025 was RMB7.5 million (US$1.1 million), consisting primarily of purchase of short-term investments and payment for acquisitions.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2024 was RMB5.4 million, consisting primarily of purchases of intangible assets, property and equipment.</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in 2023 was RMB25.1 million, consisting primarily of proceeds from maturities of short-term investments, proceeds from disposal of property and equipment, proceeds from disposal of long-term investments, and which is partially offset by purchase of short-term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in 2025 was RMB8.0 million (US$1.2 million), consisting primarily of repayment of short-term bank loans, repurchase of common shares, payment for stock issuance cost, as partially offset by proceeds from ATM offering and exercise of share options.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in 2024 was RMB1.2 million, consisting primarily of proceeds from short-term bank borrowings and exercise of share option, as partially offset by payments for common share repurchases.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 2023 was RMB8.7 million, consisting primarily of repayment of short-term bank loan and repurchase of common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made capital expenditures of RMB0.5 million, RMB5.0 million and RMB0.7 million (US$0.1 million) in 2023, 2024 and 2025, respectively. Our capital expenditures mainly included our payment for purchases of property and equipment, and intangible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we had a total of RMB168.3 million (US$24.1 million) of cash and cash equivalents and restricted cash, and we believe our working capital is sufficient to meet our requirements for the next twelve months. We may, however, require additional cash due to changing business conditions or other future developments, including any investments or acquisitions we may decide to pursue.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long-term, we intend to rely primarily on cash flow from operations and additional borrowings from banks to meet our anticipated cash needs. We may also seek to sell additional equity, debt or equity-linked securities. We cannot assure you that any financing will be available in the amounts we need or on terms acceptable to us, if at all.</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our material cash requirements mainly include the operating lease obligation and consideration to acquire Wuhan SendCloud, as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2900" w:type="dxa"/>
            <w:vAlign w:val="bottom"/>
            <w:gridSpan w:val="3"/>
          </w:tcPr>
          <w:p>
            <w:pPr>
              <w:ind w:left="2000"/>
              <w:spacing w:after="0"/>
              <w:rPr>
                <w:sz w:val="20"/>
                <w:szCs w:val="20"/>
                <w:color w:val="auto"/>
              </w:rPr>
            </w:pPr>
            <w:r>
              <w:rPr>
                <w:rFonts w:ascii="Times New Roman" w:cs="Times New Roman" w:eastAsia="Times New Roman" w:hAnsi="Times New Roman"/>
                <w:sz w:val="14"/>
                <w:szCs w:val="14"/>
                <w:b w:val="1"/>
                <w:bCs w:val="1"/>
                <w:color w:val="auto"/>
              </w:rPr>
              <w:t>​​​</w:t>
            </w:r>
          </w:p>
        </w:tc>
        <w:tc>
          <w:tcPr>
            <w:tcW w:w="2400" w:type="dxa"/>
            <w:vAlign w:val="bottom"/>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Payment due by December 31,</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top w:val="single" w:sz="8" w:color="auto"/>
            </w:tcBorders>
            <w:vMerge w:val="restart"/>
          </w:tcPr>
          <w:p>
            <w:pPr>
              <w:spacing w:after="0"/>
              <w:rPr>
                <w:sz w:val="10"/>
                <w:szCs w:val="10"/>
                <w:color w:val="auto"/>
              </w:rPr>
            </w:pPr>
          </w:p>
        </w:tc>
        <w:tc>
          <w:tcPr>
            <w:tcW w:w="62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2027</w:t>
            </w: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9"/>
              </w:rPr>
              <w:t>2028</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2029 and</w:t>
            </w: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29"/>
        </w:trPr>
        <w:tc>
          <w:tcPr>
            <w:tcW w:w="39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500"/>
              <w:spacing w:after="0" w:line="129" w:lineRule="exact"/>
              <w:rPr>
                <w:sz w:val="20"/>
                <w:szCs w:val="20"/>
                <w:color w:val="auto"/>
              </w:rPr>
            </w:pPr>
            <w:r>
              <w:rPr>
                <w:rFonts w:ascii="Times New Roman" w:cs="Times New Roman" w:eastAsia="Times New Roman" w:hAnsi="Times New Roman"/>
                <w:sz w:val="14"/>
                <w:szCs w:val="14"/>
                <w:b w:val="1"/>
                <w:bCs w:val="1"/>
                <w:color w:val="auto"/>
                <w:w w:val="74"/>
              </w:rPr>
              <w:t>(RMB</w:t>
            </w:r>
          </w:p>
        </w:tc>
        <w:tc>
          <w:tcPr>
            <w:tcW w:w="80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w w:val="81"/>
              </w:rPr>
              <w:t>in thousands)</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720" w:type="dxa"/>
            <w:vAlign w:val="bottom"/>
            <w:gridSpan w:val="2"/>
            <w:shd w:val="clear" w:color="auto" w:fill="CCEEFF"/>
          </w:tcPr>
          <w:p>
            <w:pPr>
              <w:jc w:val="center"/>
              <w:ind w:left="2056"/>
              <w:spacing w:after="0"/>
              <w:rPr>
                <w:sz w:val="20"/>
                <w:szCs w:val="20"/>
                <w:color w:val="auto"/>
              </w:rPr>
            </w:pPr>
            <w:r>
              <w:rPr>
                <w:rFonts w:ascii="Times New Roman" w:cs="Times New Roman" w:eastAsia="Times New Roman" w:hAnsi="Times New Roman"/>
                <w:sz w:val="18"/>
                <w:szCs w:val="18"/>
                <w:color w:val="auto"/>
              </w:rPr>
              <w:t>16,203</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3,318</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Capital commitments</w:t>
            </w:r>
          </w:p>
        </w:tc>
        <w:tc>
          <w:tcPr>
            <w:tcW w:w="2720" w:type="dxa"/>
            <w:vAlign w:val="bottom"/>
            <w:gridSpan w:val="2"/>
          </w:tcPr>
          <w:p>
            <w:pPr>
              <w:jc w:val="center"/>
              <w:ind w:left="2056"/>
              <w:spacing w:after="0"/>
              <w:rPr>
                <w:sz w:val="20"/>
                <w:szCs w:val="20"/>
                <w:color w:val="auto"/>
              </w:rPr>
            </w:pPr>
            <w:r>
              <w:rPr>
                <w:rFonts w:ascii="Times New Roman" w:cs="Times New Roman" w:eastAsia="Times New Roman" w:hAnsi="Times New Roman"/>
                <w:sz w:val="18"/>
                <w:szCs w:val="18"/>
                <w:color w:val="auto"/>
              </w:rPr>
              <w:t>14,187</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14,187</w:t>
            </w:r>
          </w:p>
        </w:tc>
        <w:tc>
          <w:tcPr>
            <w:tcW w:w="180" w:type="dxa"/>
            <w:vAlign w:val="bottom"/>
          </w:tcPr>
          <w:p>
            <w:pPr>
              <w:spacing w:after="0"/>
              <w:rPr>
                <w:sz w:val="18"/>
                <w:szCs w:val="18"/>
                <w:color w:val="auto"/>
              </w:rPr>
            </w:pPr>
          </w:p>
        </w:tc>
        <w:tc>
          <w:tcPr>
            <w:tcW w:w="9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30,390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3,318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acquired a majority equity interest of Wuhan SendCloud in March 2022 for a total cash consideration of RMB34.5 million, including an unpaid portion of RMB14.2 million (US$2.0 million) as of December 31, 2025.</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not entered into any financial guarantees or other commitments to guarantee the payment obligations of any unconsolidated third parties. In addition,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Moreover, we do not have any variable interest in any unconsolidated entity that provides financing, liquidity, market risk or credit support to us or engages in leasing, hedging or product development services with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Aurora Mobile Limited is a holding company with no material operations of its own. We conduct our operations primarily through our WFOE and the VIE. As a result, Aurora Mobile Limited’s ability to pay dividends depends upon dividends paid by our WFOE. If our WFOE or any newly formed mainland China subsidiaries incur debt on their own behalf in the future, the instruments governing their debt may restrict their ability to pay dividends to us. In addition, our WFOE is permitted to pay dividends to us only out of its retained earnings, if any, as determined in accordance with mainland China’s accounting standards and regulations. Under the laws of mainland China, each of our WFOE and the VIE is required to set aside at least 10% of its after-tax profits each year, if any, to fund certain statutory reserve funds until such reserve funds reach 50% of its registered capital. In addition, our WFOE may allocate a portion of its after-tax profits based on mainland China’s accounting standards to enterprise expansion funds and staff bonus and welfare funds at its discretion, and the VIE may allocate a portion of their after-tax profits based on mainland China’s accounting standards to a discretionary surplus fund at its discretion. The statutory reserve funds and the discretionary funds are not distributable as cash dividends. Remittance of dividends by a wholly foreign-owned company out of mainland China is subject to examination by the banks designated by the SAFE. Our WFOE has not paid dividends and will not be able to pay dividends until it generates accumulated profits and meets the requirements for statutory reserve funds.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Research and Development, Patents and Licenses, Etc.</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See “Item 4. Information on the Company—B. Business Overview—Research and Development” and “Item 4. Information on the Company—B. Business Overview—Intellectual Property.”</w:t>
      </w:r>
    </w:p>
    <w:p>
      <w:pPr>
        <w:spacing w:after="0" w:line="158"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Trend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since December, 31, 2025 that are reasonably likely to have a material adverse effect on our net revenues, income, profitability, liquidity or capital resources, or that caused the disclosed financial information to be not necessarily indicative of future operating results or financial conditions.</w:t>
      </w:r>
    </w:p>
    <w:p>
      <w:pPr>
        <w:spacing w:after="0" w:line="176"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Critical Accounting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GAAP, which requires management to make estimates and assumptions that affect the reported amounts of assets and liabilities, revenues and expenses, and related disclosures of contingent liabilities in the consolidated financial statements and accompanying notes. We base our estimates on historical experience and on various other assumptions we believe to be reasonable under the circumstances, the results of which form the basis for making judgments about the carrying values of assets and liabilities. Changes in the economic environment, financial markets, and any other parameters used in determining such estimates could cause actual results to differ. Our critical accounting estimates are described below. The critical accounting estimates should be read in conjunction with our risk factors as disclosed in “Item 3. Key Information—D. Risk Factors.” See Note 2 to our consolidated financial statements for the year ended December 31, 2025 for more information on our critical accounting policies.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Equity Investments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equity investments without readily determinable fair value for which we have elected to use the measurement alternative, we make a qualitative assessment considering impairment indicators to evaluate whether an investment is impaired each reporting date. Impairment indicators considered include, but are not limited to, a significant deterioration in the earnings performance or business prospects of the investee, including factors that raise significant concern about the investee’s ability to continue as a going concern, a significant adverse change in the regulatory, economic or technological environment of the investee, and a significant adverse change in the general market condition of the industry in which the investee operates. If a qualitative assessment indicates that the investment is impaired, we estimate the investment’s fair value in accordance with the principles of ASC 820. If the fair value is less than the investment’s carrying value, we recognize an impairment loss in net income equal to the difference between the carrying value and fair value. These judgments include valuation methods and key valuation assumptions and estimates used in estimating impairment amounts, which comprised the investees’ cash flow forecasts. Changes in these estimates and assumptions could materially affect the fair value of equity investments without readily determinable fair value. See Note 9 of the Notes to our consolidated financial statements for information regarding investment related impairment accounted for under measurement alternative.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DIRECTORS, SENIOR MANAGEMENT AND EMPLOYEES</w:t>
      </w:r>
    </w:p>
    <w:p>
      <w:pPr>
        <w:spacing w:after="0" w:line="225" w:lineRule="exact"/>
        <w:rPr>
          <w:sz w:val="20"/>
          <w:szCs w:val="20"/>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Directors and Senior Management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annual report.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Age</w:t>
            </w:r>
          </w:p>
        </w:tc>
        <w:tc>
          <w:tcPr>
            <w:tcW w:w="50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210"/>
        </w:trPr>
        <w:tc>
          <w:tcPr>
            <w:tcW w:w="4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Weidong Luo</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Borders>
              <w:top w:val="single" w:sz="8" w:color="CCEEFF"/>
            </w:tcBorders>
            <w:shd w:val="clear" w:color="auto" w:fill="CCEEFF"/>
          </w:tcPr>
          <w:p>
            <w:pPr>
              <w:spacing w:after="0"/>
              <w:rPr>
                <w:sz w:val="18"/>
                <w:szCs w:val="18"/>
                <w:color w:val="auto"/>
              </w:rPr>
            </w:pPr>
          </w:p>
        </w:tc>
        <w:tc>
          <w:tcPr>
            <w:tcW w:w="4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of Directors and Chief Executive Officer</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Qing Zhang</w:t>
            </w:r>
          </w:p>
        </w:tc>
        <w:tc>
          <w:tcPr>
            <w:tcW w:w="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Shan-Nen Bong</w:t>
            </w:r>
          </w:p>
        </w:tc>
        <w:tc>
          <w:tcPr>
            <w:tcW w:w="6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Kwok Hin Tang</w:t>
            </w:r>
          </w:p>
        </w:tc>
        <w:tc>
          <w:tcPr>
            <w:tcW w:w="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Hon Sang Lee</w:t>
            </w:r>
          </w:p>
        </w:tc>
        <w:tc>
          <w:tcPr>
            <w:tcW w:w="6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shd w:val="clear" w:color="auto" w:fill="CCEEFF"/>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John Tiong Lu Koh</w:t>
            </w:r>
          </w:p>
        </w:tc>
        <w:tc>
          <w:tcPr>
            <w:tcW w:w="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Si Ngai Yeung</w:t>
            </w:r>
          </w:p>
        </w:tc>
        <w:tc>
          <w:tcPr>
            <w:tcW w:w="6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shd w:val="clear" w:color="auto" w:fill="CCEEFF"/>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bl>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Mr. </w:t>
      </w:r>
      <w:r>
        <w:rPr>
          <w:rFonts w:ascii="Times New Roman" w:cs="Times New Roman" w:eastAsia="Times New Roman" w:hAnsi="Times New Roman"/>
          <w:sz w:val="18"/>
          <w:szCs w:val="18"/>
          <w:i w:val="1"/>
          <w:iCs w:val="1"/>
          <w:color w:val="auto"/>
        </w:rPr>
        <w:t>Weidong Luo</w:t>
      </w:r>
      <w:r>
        <w:rPr>
          <w:rFonts w:ascii="Times New Roman" w:cs="Times New Roman" w:eastAsia="Times New Roman" w:hAnsi="Times New Roman"/>
          <w:sz w:val="18"/>
          <w:szCs w:val="18"/>
          <w:color w:val="auto"/>
        </w:rPr>
        <w:t xml:space="preserve"> is our co-founder and has served as our chairman of the board of directors and chief executive office since May 2012. Mr. Luo has over 12 years of experience building successful technology companies. Mr. Luo was a general manager of Shenzhen Zhiwo Information Technology Company Limited from September 2007 to September 2010 responsible for its general business operations. Mr. Luo received a master of philosophy degree in computing from Hong Kong Polytechnic University and a bachelor’s degree in management information systems from Renmin University of China.</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Mr. </w:t>
      </w:r>
      <w:r>
        <w:rPr>
          <w:rFonts w:ascii="Times New Roman" w:cs="Times New Roman" w:eastAsia="Times New Roman" w:hAnsi="Times New Roman"/>
          <w:sz w:val="18"/>
          <w:szCs w:val="18"/>
          <w:i w:val="1"/>
          <w:iCs w:val="1"/>
          <w:color w:val="auto"/>
        </w:rPr>
        <w:t>Qing Zhang</w:t>
      </w:r>
      <w:r>
        <w:rPr>
          <w:rFonts w:ascii="Times New Roman" w:cs="Times New Roman" w:eastAsia="Times New Roman" w:hAnsi="Times New Roman"/>
          <w:sz w:val="18"/>
          <w:szCs w:val="18"/>
          <w:color w:val="auto"/>
        </w:rPr>
        <w:t xml:space="preserve"> has served as our chief technology officer since March 2024. Mr. Zhang has extensive experience and expertise in technology, product development and management in the Internet industry. Mr. Zhang served as our deputy chief technology officer from January 2022 to February 2024 and vice president of technology at the Company’s R&amp;D department since he joined Aurora Mobile in May 2020 to December 2021. Before joining Aurora Mobile, Mr. Zhang worked at Tencent for about 18 years with prior roles including technical expert, technical leader for Tencent Music and other key technical positions. At Tencent, Mr. Zhang was involved in the development of various products including QQ, Real Time exchange, Tencent Video, QQ Music and WeSing. Prior to Tencent, Mr. Zhang worked for Sino Stride Technology as a software development engineer. Mr. Zhang received his bachelor’s degree in electrical engineering from Zhejiang University in 1999.</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Mr. </w:t>
      </w:r>
      <w:r>
        <w:rPr>
          <w:rFonts w:ascii="Times New Roman" w:cs="Times New Roman" w:eastAsia="Times New Roman" w:hAnsi="Times New Roman"/>
          <w:sz w:val="18"/>
          <w:szCs w:val="18"/>
          <w:i w:val="1"/>
          <w:iCs w:val="1"/>
          <w:color w:val="auto"/>
        </w:rPr>
        <w:t>Shan-Nen Bong</w:t>
      </w:r>
      <w:r>
        <w:rPr>
          <w:rFonts w:ascii="Times New Roman" w:cs="Times New Roman" w:eastAsia="Times New Roman" w:hAnsi="Times New Roman"/>
          <w:sz w:val="18"/>
          <w:szCs w:val="18"/>
          <w:color w:val="auto"/>
        </w:rPr>
        <w:t xml:space="preserve"> has served as our chief financial officer since November 2017. Mr. Bong has over 20 years of experience in financial accounting and auditing. Prior to joining us, Mr. Bong served as the chief financial officer of Nam Tai Property Inc., an NYSE-listed property development and management company, from May 2015 to May 2016. Prior to that, Mr. Bong worked in Ernst &amp; Young, for 17 years in Singapore, New Zealand, San Jose (USA) and Beijing, and was an audit partner at Ernst &amp; Young before joining Nam Tai Property. Mr. Bong is a member of Institute of Chartered Accountants in England and Wales, Hong Kong Institute of Certified Public Accountants and Chartered Accountants Australia and New Zealand. Mr. Bong received his bachelor’s degrees in accounting, finance and computer science from Lincoln University.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Mr. </w:t>
      </w:r>
      <w:r>
        <w:rPr>
          <w:rFonts w:ascii="Times New Roman" w:cs="Times New Roman" w:eastAsia="Times New Roman" w:hAnsi="Times New Roman"/>
          <w:sz w:val="18"/>
          <w:szCs w:val="18"/>
          <w:i w:val="1"/>
          <w:iCs w:val="1"/>
          <w:color w:val="auto"/>
        </w:rPr>
        <w:t>Kwok Hin Tang</w:t>
      </w:r>
      <w:r>
        <w:rPr>
          <w:rFonts w:ascii="Times New Roman" w:cs="Times New Roman" w:eastAsia="Times New Roman" w:hAnsi="Times New Roman"/>
          <w:sz w:val="18"/>
          <w:szCs w:val="18"/>
          <w:color w:val="auto"/>
        </w:rPr>
        <w:t xml:space="preserve"> has served as our director since November 2014. Mr. Tang is a venture capitalist with 18 years of experience in director investment, corporate finance and venture capital in China and the U.S. He has been responsible for managing a portfolio of private and public company investments in the life science, technology and Internet space from incubation to growth stage with successful track records in following-on financing and strategic operation activities. Mr. Tang joined Mandra Capital in 2008 and is responsible for managing a portfolio of private company investments in the life science, technology and internet space. In addition to his responsibilities at Mandra Capital. Mr. Tang is also a member of the Intellectual Property Assessment Committee at the Hong Kong Polytechnic University. Prior to joining Mandra Capital, Mr. Tang was an investment analyst at KGR Capital (now LGT Capital Partners). Mr. Tang received a master’s degree in engineering from Stanford University in 2004.</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Mr. </w:t>
      </w:r>
      <w:r>
        <w:rPr>
          <w:rFonts w:ascii="Times New Roman" w:cs="Times New Roman" w:eastAsia="Times New Roman" w:hAnsi="Times New Roman"/>
          <w:sz w:val="18"/>
          <w:szCs w:val="18"/>
          <w:i w:val="1"/>
          <w:iCs w:val="1"/>
          <w:color w:val="auto"/>
        </w:rPr>
        <w:t>Hon Sang Lee</w:t>
      </w:r>
      <w:r>
        <w:rPr>
          <w:rFonts w:ascii="Times New Roman" w:cs="Times New Roman" w:eastAsia="Times New Roman" w:hAnsi="Times New Roman"/>
          <w:sz w:val="18"/>
          <w:szCs w:val="18"/>
          <w:color w:val="auto"/>
        </w:rPr>
        <w:t xml:space="preserve"> has served as our director since May 2020. Mr. Lee is a seasoned technology entrepreneur and active angel investor with unique leadership experience with leading multinational and local technology companies in China. He currently serves as the chairman and executive partner of ShangGu Capital, which is an equity venture investment fund targeting early and growth stage innovative companies. He is also a director of Shenzhen Dynanonic Co., Ltd. (SZSE: 300769) and independent director of Tarena International, Inc. (Nasdaq: TCTM). Mr. Lee is a business pioneer in China starting in 1987 when he joined HP China and stayed with HP for 12 years until 1999. While at HP, Mr. Lee established and headed the HP Personal Computer and Peripheral Business in China, growing it from a small operation to a market leader when he left in 1999. Mr. Lee then joined Founder Holdings Ltd., a Hong Kong-listed company, as chief executive officer to run its software and systems integration business. Mr. Lee was chairman and chief executive officer of Hinge Software, a software company he co-founded in 2003. Mr. Lee founded Sinova SJ Capital in 2010. Mr. Lee received his bachelor’s degree in computer science from the University of Hong Kong.</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Mr. </w:t>
      </w:r>
      <w:r>
        <w:rPr>
          <w:rFonts w:ascii="Times New Roman" w:cs="Times New Roman" w:eastAsia="Times New Roman" w:hAnsi="Times New Roman"/>
          <w:sz w:val="18"/>
          <w:szCs w:val="18"/>
          <w:i w:val="1"/>
          <w:iCs w:val="1"/>
          <w:color w:val="auto"/>
        </w:rPr>
        <w:t>John Tiong Lu Koh</w:t>
      </w:r>
      <w:r>
        <w:rPr>
          <w:rFonts w:ascii="Times New Roman" w:cs="Times New Roman" w:eastAsia="Times New Roman" w:hAnsi="Times New Roman"/>
          <w:sz w:val="18"/>
          <w:szCs w:val="18"/>
          <w:color w:val="auto"/>
        </w:rPr>
        <w:t xml:space="preserve"> has served as our director since July 2018. Mr. Koh has over 25 years of experience in investment banking and law. Mr. Koh was a managing director and a senior advisor of the Goldman Sachs Group until 2006. Prior to joining Goldman Sachs in 1999, Mr. Koh spent 18 years as a lawyer at various firms, including J. Koh &amp; Co., a Singapore firm founded by Mr. Koh, as well as serving in the Singapore Attorney-General’s Chambers. Mr. Koh is also a director of the National Museum of Singapore. Mr. Koh received a bachelor of arts degree and a master of arts degree from the University of Cambridge and a graduate degree from Harvard Law School.</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Mr. </w:t>
      </w:r>
      <w:r>
        <w:rPr>
          <w:rFonts w:ascii="Times New Roman" w:cs="Times New Roman" w:eastAsia="Times New Roman" w:hAnsi="Times New Roman"/>
          <w:sz w:val="18"/>
          <w:szCs w:val="18"/>
          <w:i w:val="1"/>
          <w:iCs w:val="1"/>
          <w:color w:val="auto"/>
        </w:rPr>
        <w:t>Peter Si Ngai Yeung</w:t>
      </w:r>
      <w:r>
        <w:rPr>
          <w:rFonts w:ascii="Times New Roman" w:cs="Times New Roman" w:eastAsia="Times New Roman" w:hAnsi="Times New Roman"/>
          <w:sz w:val="18"/>
          <w:szCs w:val="18"/>
          <w:color w:val="auto"/>
        </w:rPr>
        <w:t xml:space="preserve"> has served as our director since July 2018. Mr. Yeung has over 40 years of experience in the information technology industry. He was initially trained as a professional sales person in managing large enterprise customers and later as a sales manager and general manager. Mr. Yeung retired as a vice president of Asia markets at Promethean Limited, a global leader in interactive education technologies, in June 2018. Prior to joining Promethean, Mr. Yeung served as vice president of business development at NetDragon Websoft from April to October 2015, and a vice president of operations at Harrow International from April 2013 to February 2015. Prior to that, Mr. Yeung was the general manager of Microsoft Hong Kong &amp; Macau Limited from August 2009 to November 2012. Mr. Yeung also served as managing director at several other global IT corporations, including Jardine OneSolution, Hewlett-Packard and Compaq Computer, from July 1998 to June 2009. Mr. Yeung received his bachelor’s degree in social science from the University of Hong Kong.</w:t>
      </w:r>
    </w:p>
    <w:p>
      <w:pPr>
        <w:spacing w:after="0" w:line="186" w:lineRule="exact"/>
        <w:rPr>
          <w:sz w:val="20"/>
          <w:szCs w:val="20"/>
          <w:color w:val="auto"/>
        </w:rPr>
      </w:pPr>
    </w:p>
    <w:p>
      <w:pPr>
        <w:ind w:left="340" w:hanging="332"/>
        <w:spacing w:after="0"/>
        <w:tabs>
          <w:tab w:leader="none" w:pos="3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Compensation of Directors and Executive Officers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fiscal year ended December 31, 2025, we paid cash compensation in an aggregate amount of approximately RMB3.7 million (US$526 thousand) to our executive officers, and approximately RMB1.1 million (US$155 thousand) to our non-executive directors. We have not set aside or accrued any amount to provide pension, retirement or other similar benefits to our directors and executive officers. Our mainland China subsidiary and the VIE are required by law to make contributions equal to certain percentages of each employee’s salary for his or her pension insurance, medical insurance, unemployment insurance and other statutory benefits and a housing provident fund.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Under these agreements, each of our executive officers is employed for a specified time period. 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We may also terminate an executive officer’s employment without cause upon three-month advance written notice. In such case of termination by us, we will provide severance payments to the executive officer as expressly required by applicable law of the jurisdiction where the executive officer is based. The executive officer may resign at any time with a three-month advance written notice.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each executive officer has agreed to be bound by non-competition and non-solicitation restrictions during the term of his or her employment and typically for one year following the last date of employment. Specifically, each executive officer has agreed not to (i) approach our suppliers, clients, customers or contacts or other persons or entities introduced to the executive officer in his or her capacity as a representative of us for the purpose of doing business with such persons or entities that will harm our business relationships with these persons or entities; (ii) assume employment with or provide services to any of our competitors, or engage, whether as principal, partner, licensor or otherwise, any of our competitors, without our express consent; or (iii) seek directly or indirectly, to solicit the services of any of our employees who is employed by us on or after the date of the executive officer’s termination, or in the year preceding such termination, without our express consent.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approved the 2014 stock incentive plan, the 2017 stock incentive plan, the 2021 share incentive plan and the 2023 share incentive plan (together, the “Share Incentive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Stock Incentive Plan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July 2014, our shareholders and board of directors adopted the 2014 Stock Incentive Plan, which we refer to as the 2014 Plan in this annual report, to attract and retain the best available personnel, provide additional incentives to employees, directors and consultants and promote the success of our business. The maximum aggregate number of Class A common shares that may be issued pursuant to all awards under the 2014 Plan is 5,500,000 Class A common shares. As of February 28, 2026, options to purchase 1,243,173 Class A common shares had been granted and were outstanding under the 2014 Plan, excluding awards that were exercised, forfeited or canceled after the relevant grant dates.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paragraphs summarize the terms of the 2014 Plan.</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Types of Awards. </w:t>
      </w:r>
      <w:r>
        <w:rPr>
          <w:rFonts w:ascii="Times New Roman" w:cs="Times New Roman" w:eastAsia="Times New Roman" w:hAnsi="Times New Roman"/>
          <w:sz w:val="18"/>
          <w:szCs w:val="18"/>
          <w:color w:val="auto"/>
        </w:rPr>
        <w:t>The plan permits the awards of options, restricted shares and restricted share units or other right or benefit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plan.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The board of directors or a committee designated by the board of directors acts as the plan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 administrator will determine the participants who are to receive awards, the type or types of awards to be granted, the number of awards to be granted, and the terms and conditions of each award grant. The plan administrator can amend outstanding awards and interpret the terms of the 2014 Plan and any award agreement.</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Award Agreement. </w:t>
      </w:r>
      <w:r>
        <w:rPr>
          <w:rFonts w:ascii="Times New Roman" w:cs="Times New Roman" w:eastAsia="Times New Roman" w:hAnsi="Times New Roman"/>
          <w:sz w:val="18"/>
          <w:szCs w:val="18"/>
          <w:color w:val="auto"/>
        </w:rPr>
        <w:t>Awards granted under the 2014 Plan are evidenced by an award agreement that sets forth the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for each grant.</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Exercise Price. </w:t>
      </w:r>
      <w:r>
        <w:rPr>
          <w:rFonts w:ascii="Times New Roman" w:cs="Times New Roman" w:eastAsia="Times New Roman" w:hAnsi="Times New Roman"/>
          <w:sz w:val="18"/>
          <w:szCs w:val="18"/>
          <w:color w:val="auto"/>
        </w:rPr>
        <w:t>The exercise price of an award will be determined by the plan administrator. In certain circumstances, such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recapitalization, a spin-off, reorganization, merger, separation and split-up, the plan administrator may adjust the exercise price of outstanding options and share appreciation rights.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We may grant awards to our employees, consultants, and all members of the board of directors.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Term of the Awards. </w:t>
      </w:r>
      <w:r>
        <w:rPr>
          <w:rFonts w:ascii="Times New Roman" w:cs="Times New Roman" w:eastAsia="Times New Roman" w:hAnsi="Times New Roman"/>
          <w:sz w:val="18"/>
          <w:szCs w:val="18"/>
          <w:color w:val="auto"/>
        </w:rPr>
        <w:t>The term of each share award granted under the 2014 Plan was capped at ten years after the date of grant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originally provided under the plan. As of December 31, 2025, there were no shares remain available for grant under the 2014 Plan as the 2014 Plan has expired. For the years ended December 31, 2025, the Company has extended the terms of 306,828 awards that have been vested but not exercised under the 2014 Plan for additional periods.</w:t>
      </w:r>
    </w:p>
    <w:p>
      <w:pPr>
        <w:spacing w:after="0" w:line="18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Vesting Schedule. </w:t>
      </w:r>
      <w:r>
        <w:rPr>
          <w:rFonts w:ascii="Times New Roman" w:cs="Times New Roman" w:eastAsia="Times New Roman" w:hAnsi="Times New Roman"/>
          <w:sz w:val="18"/>
          <w:szCs w:val="18"/>
          <w:color w:val="auto"/>
        </w:rPr>
        <w:t>In general, the plan administrator determines the vesting schedule, which is set forth in the relevant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Awards may not be transferred in any manner by the recipient other than by will or the laws of descent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distribution, except as otherwise provided by the plan administrator.</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Termination. </w:t>
      </w:r>
      <w:r>
        <w:rPr>
          <w:rFonts w:ascii="Times New Roman" w:cs="Times New Roman" w:eastAsia="Times New Roman" w:hAnsi="Times New Roman"/>
          <w:sz w:val="18"/>
          <w:szCs w:val="18"/>
          <w:color w:val="auto"/>
        </w:rPr>
        <w:t>The plan shall terminate in July 2024, provided that our board of directors may terminate the plan at any time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any reason.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Stock Incentive Plan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March 2017, our shareholders and board of directors adopted the 2017 Stock Incentive Plan, which we refer to as the 2017 Plan in this annual report, to attract and retain the best available personnel, provide additional incentives to employees, directors and consultants and promote the success of our business. The maximum aggregate number of Class A common shares that may be issued pursuant to all awards under the 2017 Plan, as amended, is 6,015,137 Class A common shares. As of February 28, 2026, options to purchase 3,712,547 Class A common shares had been granted and were outstanding under the 2017 Plan, excluding awards that were exercised, forfeited or canceled after the relevant grant dates.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paragraphs summarize the terms of the 2017 Plan.</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Types of Awards. </w:t>
      </w:r>
      <w:r>
        <w:rPr>
          <w:rFonts w:ascii="Times New Roman" w:cs="Times New Roman" w:eastAsia="Times New Roman" w:hAnsi="Times New Roman"/>
          <w:sz w:val="18"/>
          <w:szCs w:val="18"/>
          <w:color w:val="auto"/>
        </w:rPr>
        <w:t>The plan permits the awards of options, restricted shares and restricted share units or other right or benefit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plan.</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The board of directors or a committee designated by the board of directors acts as the plan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 administrator will determine the participants who are to receive awards, the type or types of awards to be granted, the number of awards to be granted, and the terms and conditions of each award grant. The plan administrator can amend outstanding awards and interpret the terms of the 2017 Plan and any award agreement.</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Award Agreement. </w:t>
      </w:r>
      <w:r>
        <w:rPr>
          <w:rFonts w:ascii="Times New Roman" w:cs="Times New Roman" w:eastAsia="Times New Roman" w:hAnsi="Times New Roman"/>
          <w:sz w:val="18"/>
          <w:szCs w:val="18"/>
          <w:color w:val="auto"/>
        </w:rPr>
        <w:t>Awards granted under the 2017 Plan are evidenced by an award agreement that sets forth the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for each grant.</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Exercise Price. </w:t>
      </w:r>
      <w:r>
        <w:rPr>
          <w:rFonts w:ascii="Times New Roman" w:cs="Times New Roman" w:eastAsia="Times New Roman" w:hAnsi="Times New Roman"/>
          <w:sz w:val="18"/>
          <w:szCs w:val="18"/>
          <w:color w:val="auto"/>
        </w:rPr>
        <w:t>The exercise price of an award will be determined by the plan administrator. In certain circumstances, such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recapitalization, a spin-off, reorganization, merger, separation and split-up, the plan administrator may adjust the exercise price of outstanding options and share appreciation rights.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We may grant awards to our employees, consultants, and all members of the board of directors.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Term of the Awards. </w:t>
      </w:r>
      <w:r>
        <w:rPr>
          <w:rFonts w:ascii="Times New Roman" w:cs="Times New Roman" w:eastAsia="Times New Roman" w:hAnsi="Times New Roman"/>
          <w:sz w:val="18"/>
          <w:szCs w:val="18"/>
          <w:color w:val="auto"/>
        </w:rPr>
        <w:t>The term of each share award granted under the 2017 Plan may not exceed ten years after the date of grant.</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Vesting Schedule. </w:t>
      </w:r>
      <w:r>
        <w:rPr>
          <w:rFonts w:ascii="Times New Roman" w:cs="Times New Roman" w:eastAsia="Times New Roman" w:hAnsi="Times New Roman"/>
          <w:sz w:val="18"/>
          <w:szCs w:val="18"/>
          <w:color w:val="auto"/>
        </w:rPr>
        <w:t>In general, the plan administrator determines the vesting schedule, which is set forth in the relevant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Awards may not be transferred in any manner by the recipient other than by will or the laws of descent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distribution, except as otherwise provided by the plan administrator.</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Termination. </w:t>
      </w:r>
      <w:r>
        <w:rPr>
          <w:rFonts w:ascii="Times New Roman" w:cs="Times New Roman" w:eastAsia="Times New Roman" w:hAnsi="Times New Roman"/>
          <w:sz w:val="18"/>
          <w:szCs w:val="18"/>
          <w:color w:val="auto"/>
        </w:rPr>
        <w:t>The plan shall terminate in March 2027, provided that our board of directors may terminate the plan at any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for any reason.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Share Incentive Plan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December 2021, our board of directors adopted the 2021 Share Incentive Plan, which we refer to as the 2021 Plan in this annual report, to attract and retain the best available personnel, provide additional incentives to employees, directors and consultants and promote the success of our business. The maximum aggregate number of Class A common shares that may be issued pursuant to all awards under the 2021 Plan is 4,000,000 Class A common shares. As of February 28, 2026, options to purchase 2,993,920 Class A common shares had been granted and were outstanding under the 2021 Plan, excluding awards that were exercised, forfeited or canceled after the relevant grant dates.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paragraphs summarize the terms of the 2021 Plan.</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Types of Awards. </w:t>
      </w:r>
      <w:r>
        <w:rPr>
          <w:rFonts w:ascii="Times New Roman" w:cs="Times New Roman" w:eastAsia="Times New Roman" w:hAnsi="Times New Roman"/>
          <w:sz w:val="18"/>
          <w:szCs w:val="18"/>
          <w:color w:val="auto"/>
        </w:rPr>
        <w:t>The plan permits the awards of options, restricted shares and restricted share units or other right or benefit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plan.</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The board of directors or a committee designated by the board of directors acts as the plan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 administrator will determine the participants who are to receive awards, the type or types of awards to be granted, the number of awards to be granted, and the terms and conditions of each award grant. The plan administrator can establish, adopt, or revise any rules and regulations as it may deem necessary or advisable to administer the plan and interpret the terms of the 2021 Plan and any award agreement.</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Award Agreement. </w:t>
      </w:r>
      <w:r>
        <w:rPr>
          <w:rFonts w:ascii="Times New Roman" w:cs="Times New Roman" w:eastAsia="Times New Roman" w:hAnsi="Times New Roman"/>
          <w:sz w:val="18"/>
          <w:szCs w:val="18"/>
          <w:color w:val="auto"/>
        </w:rPr>
        <w:t>Awards granted under the 2021 Plan are evidenced by an award agreement that sets forth the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for each grant.</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Exercise Price. </w:t>
      </w:r>
      <w:r>
        <w:rPr>
          <w:rFonts w:ascii="Times New Roman" w:cs="Times New Roman" w:eastAsia="Times New Roman" w:hAnsi="Times New Roman"/>
          <w:sz w:val="18"/>
          <w:szCs w:val="18"/>
          <w:color w:val="auto"/>
        </w:rPr>
        <w:t>The exercise price of an award will be determined by the plan administrator and set forth in the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which may be a fixed price or a variable price related to the fair market value of the shares. The exercise price per share subject to an option may be amended or adjusted in the absolute discretion of the plan administrator, the determination of which shall be final, binding and conclusive.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We may grant awards to our employees, consultants, and board of directors, as determined by the plan administrator.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Term of the Awards. </w:t>
      </w:r>
      <w:r>
        <w:rPr>
          <w:rFonts w:ascii="Times New Roman" w:cs="Times New Roman" w:eastAsia="Times New Roman" w:hAnsi="Times New Roman"/>
          <w:sz w:val="18"/>
          <w:szCs w:val="18"/>
          <w:color w:val="auto"/>
        </w:rPr>
        <w:t>The term of each share award granted under the 2021 Plan may not exceed ten years after the date of grant.</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Vesting Schedule. </w:t>
      </w:r>
      <w:r>
        <w:rPr>
          <w:rFonts w:ascii="Times New Roman" w:cs="Times New Roman" w:eastAsia="Times New Roman" w:hAnsi="Times New Roman"/>
          <w:sz w:val="18"/>
          <w:szCs w:val="18"/>
          <w:color w:val="auto"/>
        </w:rPr>
        <w:t>In general, the plan administrator determines the vesting schedule, which is set forth in the relevant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Awards may not be transferred in any manner by the recipient other than transfer to the Company or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or the laws of descent and distribution, except as otherwise provided by the plan administrator.</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Termination. </w:t>
      </w:r>
      <w:r>
        <w:rPr>
          <w:rFonts w:ascii="Times New Roman" w:cs="Times New Roman" w:eastAsia="Times New Roman" w:hAnsi="Times New Roman"/>
          <w:sz w:val="18"/>
          <w:szCs w:val="18"/>
          <w:color w:val="auto"/>
        </w:rPr>
        <w:t>The plan shall terminate in December 2031, provided that our board of directors may terminate the plan at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and for any reason.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Share Incentive Plan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September 2023, our board of directors adopted the 2023 Share Incentive Plan, which we refer to as the 2023 Plan in this annual report, to promote the success and enhance the value of our Company. The maximum aggregate number of Class A common shares that may be issued pursuant to all awards under the 2023 Plan is 4,000,000 Class A common shares. As of February 28, 2026, 564,147 restricted share units had been granted and were outstanding under the 2023 Plan, excluding awards that were exercised, forfeited or canceled after the relevant grant dates.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paragraphs summarize the terms of the 2023 Plan.</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Types of Awards. </w:t>
      </w:r>
      <w:r>
        <w:rPr>
          <w:rFonts w:ascii="Times New Roman" w:cs="Times New Roman" w:eastAsia="Times New Roman" w:hAnsi="Times New Roman"/>
          <w:sz w:val="18"/>
          <w:szCs w:val="18"/>
          <w:color w:val="auto"/>
        </w:rPr>
        <w:t>The plan permits the awards of options, restricted shares and restricted share units or other right or benefit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plan.</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The board of directors or a committee designated by the board of directors acts as the plan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 administrator will determine the participants who are to receive awards, the type or types of awards to be granted, the number of awards to be granted, and the terms and conditions of each award grant. The plan administrator can establish, adopt, or revise any rules and regulations as it may deem necessary or advisable to administer the plan and interpret the terms of the 2023 Plan and any award agreement.</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Award Agreement. </w:t>
      </w:r>
      <w:r>
        <w:rPr>
          <w:rFonts w:ascii="Times New Roman" w:cs="Times New Roman" w:eastAsia="Times New Roman" w:hAnsi="Times New Roman"/>
          <w:sz w:val="18"/>
          <w:szCs w:val="18"/>
          <w:color w:val="auto"/>
        </w:rPr>
        <w:t>Awards granted under the 2023 Plan are evidenced by an award agreement that sets forth the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for each grant.</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Exercise Price. </w:t>
      </w:r>
      <w:r>
        <w:rPr>
          <w:rFonts w:ascii="Times New Roman" w:cs="Times New Roman" w:eastAsia="Times New Roman" w:hAnsi="Times New Roman"/>
          <w:sz w:val="18"/>
          <w:szCs w:val="18"/>
          <w:color w:val="auto"/>
        </w:rPr>
        <w:t>The exercise price of an award will be determined by the plan administrator and set forth in the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which may be a fixed price or a variable price related to the fair market value of the shares. The exercise price per share subject to an option may be amended or adjusted in the absolute discretion of the plan administrator, the determination of which shall be final, binding and conclusive.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We may grant awards to our employees, consultants, and board of directors, as determined by the plan administrator.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Term of the Awards. </w:t>
      </w:r>
      <w:r>
        <w:rPr>
          <w:rFonts w:ascii="Times New Roman" w:cs="Times New Roman" w:eastAsia="Times New Roman" w:hAnsi="Times New Roman"/>
          <w:sz w:val="18"/>
          <w:szCs w:val="18"/>
          <w:color w:val="auto"/>
        </w:rPr>
        <w:t>The term of each share award granted under the 2023 Plan may not exceed ten years after the date of grant.</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Vesting Schedule. </w:t>
      </w:r>
      <w:r>
        <w:rPr>
          <w:rFonts w:ascii="Times New Roman" w:cs="Times New Roman" w:eastAsia="Times New Roman" w:hAnsi="Times New Roman"/>
          <w:sz w:val="18"/>
          <w:szCs w:val="18"/>
          <w:color w:val="auto"/>
        </w:rPr>
        <w:t>In general, the plan administrator determines the vesting schedule, which is set forth in the relevant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Awards may not be transferred in any manner by the recipient other than transfer to the Company or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or the laws of descent and distribution, except as otherwise provided by the plan administrator.</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Termination. </w:t>
      </w:r>
      <w:r>
        <w:rPr>
          <w:rFonts w:ascii="Times New Roman" w:cs="Times New Roman" w:eastAsia="Times New Roman" w:hAnsi="Times New Roman"/>
          <w:sz w:val="18"/>
          <w:szCs w:val="18"/>
          <w:color w:val="auto"/>
        </w:rPr>
        <w:t>The plan shall terminate in September 2033, provided that our board of directors may terminate the plan at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and for any reason.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as of February 28, 2026, the awards granted under the 2014 Plan, the 2017 Plan, the 2021 Plan and the 2023 Plan to our directors and executive officers, excluding awards that were exercised, forfeited or canceled after the relevant grant dates.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 Options</w:t>
            </w: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Restricted</w:t>
            </w:r>
          </w:p>
        </w:tc>
        <w:tc>
          <w:tcPr>
            <w:tcW w:w="1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2"/>
                <w:szCs w:val="12"/>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200" w:type="dxa"/>
            <w:vAlign w:val="bottom"/>
          </w:tcPr>
          <w:p>
            <w:pPr>
              <w:spacing w:after="0"/>
              <w:rPr>
                <w:sz w:val="12"/>
                <w:szCs w:val="12"/>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Expiration</w:t>
            </w:r>
          </w:p>
        </w:tc>
        <w:tc>
          <w:tcPr>
            <w:tcW w:w="0" w:type="dxa"/>
            <w:vAlign w:val="bottom"/>
          </w:tcPr>
          <w:p>
            <w:pPr>
              <w:spacing w:after="0"/>
              <w:rPr>
                <w:sz w:val="1"/>
                <w:szCs w:val="1"/>
                <w:color w:val="auto"/>
              </w:rPr>
            </w:pPr>
          </w:p>
        </w:tc>
      </w:tr>
      <w:tr>
        <w:trPr>
          <w:trHeight w:val="173"/>
        </w:trPr>
        <w:tc>
          <w:tcPr>
            <w:tcW w:w="3460" w:type="dxa"/>
            <w:vAlign w:val="bottom"/>
            <w:gridSpan w:val="3"/>
            <w:vMerge w:val="continue"/>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1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(US$/Share)</w:t>
            </w:r>
          </w:p>
        </w:tc>
        <w:tc>
          <w:tcPr>
            <w:tcW w:w="20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2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Qing Zhang</w:t>
            </w: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Between June 2, 2020</w:t>
            </w:r>
          </w:p>
        </w:tc>
        <w:tc>
          <w:tcPr>
            <w:tcW w:w="20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Between June 2, 2030</w:t>
            </w: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221,627</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shd w:val="clear" w:color="auto" w:fill="CCEEFF"/>
          </w:tcPr>
          <w:p>
            <w:pPr>
              <w:spacing w:after="0"/>
              <w:rPr>
                <w:sz w:val="20"/>
                <w:szCs w:val="20"/>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and December 31, 2025</w:t>
            </w:r>
          </w:p>
        </w:tc>
        <w:tc>
          <w:tcPr>
            <w:tcW w:w="200" w:type="dxa"/>
            <w:vAlign w:val="bottom"/>
            <w:shd w:val="clear" w:color="auto" w:fill="CCEEFF"/>
          </w:tcPr>
          <w:p>
            <w:pPr>
              <w:spacing w:after="0"/>
              <w:rPr>
                <w:sz w:val="20"/>
                <w:szCs w:val="20"/>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and December 31, 2035</w:t>
            </w:r>
          </w:p>
        </w:tc>
        <w:tc>
          <w:tcPr>
            <w:tcW w:w="0" w:type="dxa"/>
            <w:vAlign w:val="bottom"/>
          </w:tcPr>
          <w:p>
            <w:pPr>
              <w:spacing w:after="0"/>
              <w:rPr>
                <w:sz w:val="1"/>
                <w:szCs w:val="1"/>
                <w:color w:val="auto"/>
              </w:rPr>
            </w:pPr>
          </w:p>
        </w:tc>
      </w:tr>
      <w:tr>
        <w:trPr>
          <w:trHeight w:val="198"/>
        </w:trPr>
        <w:tc>
          <w:tcPr>
            <w:tcW w:w="34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Shan-Nen Bong</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Between November 13,</w:t>
            </w:r>
          </w:p>
        </w:tc>
        <w:tc>
          <w:tcPr>
            <w:tcW w:w="200" w:type="dxa"/>
            <w:vAlign w:val="bottom"/>
          </w:tcPr>
          <w:p>
            <w:pPr>
              <w:spacing w:after="0"/>
              <w:rPr>
                <w:sz w:val="17"/>
                <w:szCs w:val="17"/>
                <w:color w:val="auto"/>
              </w:rPr>
            </w:pPr>
          </w:p>
        </w:tc>
        <w:tc>
          <w:tcPr>
            <w:tcW w:w="18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Between November 13,</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2017 and December 31,</w:t>
            </w:r>
          </w:p>
        </w:tc>
        <w:tc>
          <w:tcPr>
            <w:tcW w:w="2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 and December 31,</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536,242</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980" w:type="dxa"/>
            <w:vAlign w:val="bottom"/>
            <w:gridSpan w:val="2"/>
          </w:tcPr>
          <w:p>
            <w:pPr>
              <w:jc w:val="center"/>
              <w:ind w:left="99"/>
              <w:spacing w:after="0"/>
              <w:rPr>
                <w:sz w:val="20"/>
                <w:szCs w:val="20"/>
                <w:color w:val="auto"/>
              </w:rPr>
            </w:pPr>
            <w:r>
              <w:rPr>
                <w:rFonts w:ascii="Times New Roman" w:cs="Times New Roman" w:eastAsia="Times New Roman" w:hAnsi="Times New Roman"/>
                <w:sz w:val="18"/>
                <w:szCs w:val="18"/>
                <w:color w:val="auto"/>
                <w:w w:val="99"/>
              </w:rPr>
              <w:t>2025</w:t>
            </w:r>
          </w:p>
        </w:tc>
        <w:tc>
          <w:tcPr>
            <w:tcW w:w="2000" w:type="dxa"/>
            <w:vAlign w:val="bottom"/>
            <w:gridSpan w:val="2"/>
          </w:tcPr>
          <w:p>
            <w:pPr>
              <w:jc w:val="center"/>
              <w:ind w:left="119"/>
              <w:spacing w:after="0"/>
              <w:rPr>
                <w:sz w:val="20"/>
                <w:szCs w:val="20"/>
                <w:color w:val="auto"/>
              </w:rPr>
            </w:pPr>
            <w:r>
              <w:rPr>
                <w:rFonts w:ascii="Times New Roman" w:cs="Times New Roman" w:eastAsia="Times New Roman" w:hAnsi="Times New Roman"/>
                <w:sz w:val="18"/>
                <w:szCs w:val="18"/>
                <w:color w:val="auto"/>
                <w:w w:val="99"/>
              </w:rPr>
              <w:t>2035</w:t>
            </w:r>
          </w:p>
        </w:tc>
        <w:tc>
          <w:tcPr>
            <w:tcW w:w="0" w:type="dxa"/>
            <w:vAlign w:val="bottom"/>
          </w:tcPr>
          <w:p>
            <w:pPr>
              <w:spacing w:after="0"/>
              <w:rPr>
                <w:sz w:val="1"/>
                <w:szCs w:val="1"/>
                <w:color w:val="auto"/>
              </w:rPr>
            </w:pPr>
          </w:p>
        </w:tc>
      </w:tr>
      <w:tr>
        <w:trPr>
          <w:trHeight w:val="216"/>
        </w:trPr>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Kwok Hin Tang</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1, 2025</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1, 2035</w:t>
            </w:r>
          </w:p>
        </w:tc>
        <w:tc>
          <w:tcPr>
            <w:tcW w:w="0" w:type="dxa"/>
            <w:vAlign w:val="bottom"/>
          </w:tcPr>
          <w:p>
            <w:pPr>
              <w:spacing w:after="0"/>
              <w:rPr>
                <w:sz w:val="1"/>
                <w:szCs w:val="1"/>
                <w:color w:val="auto"/>
              </w:rPr>
            </w:pPr>
          </w:p>
        </w:tc>
      </w:tr>
      <w:tr>
        <w:trPr>
          <w:trHeight w:val="216"/>
        </w:trPr>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John Tiong Lu Koh</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87,118</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1, 2025</w:t>
            </w:r>
          </w:p>
        </w:tc>
        <w:tc>
          <w:tcPr>
            <w:tcW w:w="2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 2035</w:t>
            </w:r>
          </w:p>
        </w:tc>
        <w:tc>
          <w:tcPr>
            <w:tcW w:w="0" w:type="dxa"/>
            <w:vAlign w:val="bottom"/>
          </w:tcPr>
          <w:p>
            <w:pPr>
              <w:spacing w:after="0"/>
              <w:rPr>
                <w:sz w:val="1"/>
                <w:szCs w:val="1"/>
                <w:color w:val="auto"/>
              </w:rPr>
            </w:pPr>
          </w:p>
        </w:tc>
      </w:tr>
      <w:tr>
        <w:trPr>
          <w:trHeight w:val="216"/>
        </w:trPr>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Si Ngai Yeung</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1, 2025</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1, 2035</w:t>
            </w:r>
          </w:p>
        </w:tc>
        <w:tc>
          <w:tcPr>
            <w:tcW w:w="0" w:type="dxa"/>
            <w:vAlign w:val="bottom"/>
          </w:tcPr>
          <w:p>
            <w:pPr>
              <w:spacing w:after="0"/>
              <w:rPr>
                <w:sz w:val="1"/>
                <w:szCs w:val="1"/>
                <w:color w:val="auto"/>
              </w:rPr>
            </w:pPr>
          </w:p>
        </w:tc>
      </w:tr>
      <w:tr>
        <w:trPr>
          <w:trHeight w:val="218"/>
        </w:trPr>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Hon Sang Lee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65,407</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1, 2025</w:t>
            </w:r>
          </w:p>
        </w:tc>
        <w:tc>
          <w:tcPr>
            <w:tcW w:w="2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 2035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6292215" cy="2743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274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All directors and executive officers as a</w:t>
            </w:r>
          </w:p>
        </w:tc>
        <w:tc>
          <w:tcPr>
            <w:tcW w:w="18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8"/>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1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1,031,473</w:t>
            </w:r>
          </w:p>
        </w:tc>
        <w:tc>
          <w:tcPr>
            <w:tcW w:w="16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77470</wp:posOffset>
            </wp:positionV>
            <wp:extent cx="15684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Represents restricted share units.</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As of February 28, 2026, other employees as a group held outstanding options to purchase </w:t>
      </w:r>
      <w:r>
        <w:rPr>
          <w:rFonts w:ascii="Times New Roman" w:cs="Times New Roman" w:eastAsia="Times New Roman" w:hAnsi="Times New Roman"/>
          <w:sz w:val="16"/>
          <w:szCs w:val="16"/>
          <w:color w:val="auto"/>
        </w:rPr>
        <w:t>7,482,314</w:t>
      </w:r>
      <w:r>
        <w:rPr>
          <w:rFonts w:ascii="Times New Roman" w:cs="Times New Roman" w:eastAsia="Times New Roman" w:hAnsi="Times New Roman"/>
          <w:sz w:val="18"/>
          <w:szCs w:val="18"/>
          <w:color w:val="auto"/>
        </w:rPr>
        <w:t xml:space="preserve"> Class A common shares of our company, at a weighted average exercise price of US$</w:t>
      </w:r>
      <w:r>
        <w:rPr>
          <w:rFonts w:ascii="Times New Roman" w:cs="Times New Roman" w:eastAsia="Times New Roman" w:hAnsi="Times New Roman"/>
          <w:sz w:val="16"/>
          <w:szCs w:val="16"/>
          <w:color w:val="auto"/>
        </w:rPr>
        <w:t>1.19</w:t>
      </w:r>
      <w:r>
        <w:rPr>
          <w:rFonts w:ascii="Times New Roman" w:cs="Times New Roman" w:eastAsia="Times New Roman" w:hAnsi="Times New Roman"/>
          <w:sz w:val="18"/>
          <w:szCs w:val="18"/>
          <w:color w:val="auto"/>
        </w:rPr>
        <w:t xml:space="preserve"> per share.</w:t>
      </w:r>
    </w:p>
    <w:p>
      <w:pPr>
        <w:spacing w:after="0" w:line="158" w:lineRule="exact"/>
        <w:rPr>
          <w:sz w:val="20"/>
          <w:szCs w:val="20"/>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Board Practices</w:t>
      </w:r>
    </w:p>
    <w:p>
      <w:pPr>
        <w:spacing w:after="0" w:line="229" w:lineRule="exact"/>
        <w:rPr>
          <w:sz w:val="20"/>
          <w:szCs w:val="20"/>
          <w:color w:val="auto"/>
        </w:rPr>
      </w:pPr>
    </w:p>
    <w:p>
      <w:pPr>
        <w:jc w:val="both"/>
        <w:ind w:right="40" w:firstLine="648"/>
        <w:spacing w:after="0" w:line="253" w:lineRule="auto"/>
        <w:rPr>
          <w:sz w:val="20"/>
          <w:szCs w:val="20"/>
          <w:color w:val="auto"/>
        </w:rPr>
      </w:pPr>
      <w:r>
        <w:rPr>
          <w:rFonts w:ascii="Times New Roman" w:cs="Times New Roman" w:eastAsia="Times New Roman" w:hAnsi="Times New Roman"/>
          <w:sz w:val="18"/>
          <w:szCs w:val="18"/>
          <w:color w:val="auto"/>
        </w:rPr>
        <w:t>Our board of directors consists of five directors. A director is not required to hold any shares in our company by way of qualification. A director who is in any way, whether directly or indirectly, interested in a contract or transaction or proposed contract or transaction with our company is required to declare the nature of his interest at a meeting of our directors. A director may vote in respect of any contract or transaction or proposed contract or transaction notwithstanding that he may be interested therein, and if he does so his vote shall be counted and he shall be counted in the quorum at any meeting of our directors at which any such contract or transaction or proposed contract or transaction is considered. The directors may exercise all the powers of the company to raise or borrow money and to mortgage or charge its undertaking, property and assets (present and future) and uncalled capital or any part thereof, to issue debentures, debenture stock, bonds and other securities, whether outright or as collateral security for any debt, liability or obligation of our company or of any third party. None of our non-executive directors has a service contract with us that provides for benefits upon termination of service.</w:t>
      </w:r>
    </w:p>
    <w:p>
      <w:pPr>
        <w:spacing w:after="0" w:line="194"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three out of five of our directors meet the “independence” definition under the Nasdaq Stock Market Rules. See “Item 16G. Corporate Governance.”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have established three committees under the board of directors: an audit committee, a compensation committee and a nominating and corporate governance committee. We have adopted a charter for each of the three committees. Each committee’s members and functions are described below.</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Our audit committee consists of Mr. John Tiong Lu Koh, Mr. Peter Si Ngai Yeung and Mr. Hon Sang Lee.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Koh is the chairman of our audit committee. We have determined that Mr. Koh, Mr. Yeung and Mr. Lee satisfy the “independence” requirements of Rule 5605(c)(2) of the Nasdaq Stock Market Rules and Rule 10A-3 under the Exchange Act. We have determined that Mr. Koh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185" w:lineRule="exact"/>
        <w:rPr>
          <w:sz w:val="20"/>
          <w:szCs w:val="20"/>
          <w:color w:val="auto"/>
        </w:rPr>
      </w:pPr>
    </w:p>
    <w:p>
      <w:pPr>
        <w:ind w:left="1000" w:right="20" w:hanging="317"/>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the independent auditors and pre-approving all auditing and non-auditing services permitted to be performed by the independent auditors;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 discussing the annual audited financial statements with management and the independent auditors;</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steps taken to monitor and control major financial risk exposures;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auditors; and</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16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Compensation Committee. </w:t>
      </w:r>
      <w:r>
        <w:rPr>
          <w:rFonts w:ascii="Times New Roman" w:cs="Times New Roman" w:eastAsia="Times New Roman" w:hAnsi="Times New Roman"/>
          <w:sz w:val="18"/>
          <w:szCs w:val="18"/>
          <w:color w:val="auto"/>
        </w:rPr>
        <w:t>Our compensation committee consists of Mr. John Tiong Lu Koh, Mr. Peter Si Ngai Yeung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Hon Sang Lee. Mr. Koh is the chairman of our compensation committee. We have determined that Mr. Koh, Mr. Yeung and Mr. Lee satisfy the “independence” requirements of Rule 5605(a)(2) of the Nasdaq Stock Market Rules.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184" w:lineRule="exact"/>
        <w:rPr>
          <w:sz w:val="20"/>
          <w:szCs w:val="20"/>
          <w:color w:val="auto"/>
        </w:rPr>
      </w:pPr>
    </w:p>
    <w:p>
      <w:pPr>
        <w:ind w:left="1000" w:right="20" w:hanging="317"/>
        <w:spacing w:after="0" w:line="282"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for its approval, the compensation for our chief executive officer and other executive officers;</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determination with respect to the compensation of our non-employee directors;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incentive compensation or equity plans, programs or similar arrangements; and</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compensation consultant, legal counsel or other adviser only after taking into consideration all factors relevant to that person’s independence from management.</w:t>
      </w:r>
    </w:p>
    <w:p>
      <w:pPr>
        <w:spacing w:after="0" w:line="16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Nominating and Corporate Governance Committee. </w:t>
      </w:r>
      <w:r>
        <w:rPr>
          <w:rFonts w:ascii="Times New Roman" w:cs="Times New Roman" w:eastAsia="Times New Roman" w:hAnsi="Times New Roman"/>
          <w:sz w:val="18"/>
          <w:szCs w:val="18"/>
          <w:color w:val="auto"/>
        </w:rPr>
        <w:t>Our nominating and corporate governance committee consists of Mr. Peter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 Ngai Yeung, Mr. John Tiong Lu Koh and Mr. Hon Sang Lee. Mr. Yeung is the chairman of our nominating and corporate governance committee. We have determined that Mr. Yeung, Mr. Koh and Mr. Lee satisfy the “independence” requirements of Rule 5605(a)(2) of the Nasdaq Stock Market Rules.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spacing w:after="0" w:line="184" w:lineRule="exact"/>
        <w:rPr>
          <w:sz w:val="20"/>
          <w:szCs w:val="20"/>
          <w:color w:val="auto"/>
        </w:rPr>
      </w:pPr>
    </w:p>
    <w:p>
      <w:pPr>
        <w:ind w:left="1000" w:hanging="317"/>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nominees for election by the shareholders or appointment by the board;</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with regards to characteristics such as independence, knowledge, skills, experience and diversity;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line="282"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frequency and structure of board meetings and monitoring the functioning of the committees of the board; and</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exercise skills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certain limited exceptional circumstances, a shareholder may have the right to seek damages in our name if a duty owed by our directors is breached.</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all the powers necessary for managing, and for directing and supervising, our business affairs. The functions and powers of our board of directors include, among others:</w:t>
      </w:r>
    </w:p>
    <w:p>
      <w:pPr>
        <w:spacing w:after="0" w:line="162" w:lineRule="exact"/>
        <w:rPr>
          <w:sz w:val="20"/>
          <w:szCs w:val="20"/>
          <w:color w:val="auto"/>
        </w:rPr>
      </w:pPr>
    </w:p>
    <w:p>
      <w:pPr>
        <w:ind w:left="1000" w:hanging="317"/>
        <w:spacing w:after="0" w:line="282"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and extraordinary general meetings and reporting its work to shareholders at such meetings;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the officers;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in our company, including the registration of such shares in our share register.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14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officers are appointed by and serve at the discretion of the board of directors. Our directors are not subject to a term of office, unless expressly specified in a written agreement between the director and our company, and hold office until such time as they are removed from office by ordinary resolution of the shareholders or by the board. The office of a director shall be vacated if, the director (i) becomes bankrupt or makes any arrangement or composition with his creditors; (ii) dies or is found to be or becomes of unsound mind; (iii) resigns his office by notice in writing to our company; (iv) without special leave of absence from our board of directors, is absent from meetings of our board of directors for three consecutive meetings and the board of directors resolves that his office be vacated; or (v) is removed from office pursuant to our memorandum and articles of association.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1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Board Diversity Matrix (As of February 28, 2026)</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9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Country of Principal Executive Offices</w:t>
            </w: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Private Issuer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Yes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Disclosure Prohibited Under Home Country Law</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Number of Directors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5980" w:type="dxa"/>
            <w:vAlign w:val="bottom"/>
            <w:gridSpan w:val="2"/>
          </w:tcPr>
          <w:p>
            <w:pPr>
              <w:ind w:left="51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24"/>
                <w:szCs w:val="24"/>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Did Not</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Male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Non-Binary</w:t>
            </w:r>
          </w:p>
        </w:tc>
        <w:tc>
          <w:tcPr>
            <w:tcW w:w="1040" w:type="dxa"/>
            <w:vAlign w:val="bottom"/>
            <w:gridSpan w:val="2"/>
          </w:tcPr>
          <w:p>
            <w:pPr>
              <w:jc w:val="center"/>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Disclose</w:t>
            </w: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104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Gender</w:t>
            </w:r>
          </w:p>
        </w:tc>
        <w:tc>
          <w:tcPr>
            <w:tcW w:w="0" w:type="dxa"/>
            <w:vAlign w:val="bottom"/>
          </w:tcPr>
          <w:p>
            <w:pPr>
              <w:spacing w:after="0"/>
              <w:rPr>
                <w:sz w:val="1"/>
                <w:szCs w:val="1"/>
                <w:color w:val="auto"/>
              </w:rPr>
            </w:pPr>
          </w:p>
        </w:tc>
      </w:tr>
      <w:tr>
        <w:trPr>
          <w:trHeight w:val="209"/>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Underrepresented Individual in Home Country Jurisdiction</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LGBTQ+</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u w:val="single" w:color="auto"/>
          <w:color w:val="auto"/>
        </w:rPr>
        <w:t>Employees</w:t>
      </w:r>
    </w:p>
    <w:p>
      <w:pPr>
        <w:spacing w:after="0" w:line="162"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We had a total of 371, 393 and 421 employees as of December 31, 2023, 2024 and 2025 respectively. The following table gives a breakdown of our employees as of December 31, 2025, by function: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210"/>
        </w:trPr>
        <w:tc>
          <w:tcPr>
            <w:tcW w:w="8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r>
    </w:tbl>
    <w:p>
      <w:pPr>
        <w:spacing w:after="0" w:line="130"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As of December 31, 2025, we had </w:t>
      </w:r>
      <w:r>
        <w:rPr>
          <w:rFonts w:ascii="Times New Roman" w:cs="Times New Roman" w:eastAsia="Times New Roman" w:hAnsi="Times New Roman"/>
          <w:sz w:val="16"/>
          <w:szCs w:val="16"/>
          <w:color w:val="auto"/>
        </w:rPr>
        <w:t>248</w:t>
      </w:r>
      <w:r>
        <w:rPr>
          <w:rFonts w:ascii="Times New Roman" w:cs="Times New Roman" w:eastAsia="Times New Roman" w:hAnsi="Times New Roman"/>
          <w:sz w:val="18"/>
          <w:szCs w:val="18"/>
          <w:color w:val="auto"/>
        </w:rPr>
        <w:t xml:space="preserve"> employees based in our headquarters in Shenzhen and a total of </w:t>
      </w:r>
      <w:r>
        <w:rPr>
          <w:rFonts w:ascii="Times New Roman" w:cs="Times New Roman" w:eastAsia="Times New Roman" w:hAnsi="Times New Roman"/>
          <w:sz w:val="16"/>
          <w:szCs w:val="16"/>
          <w:color w:val="auto"/>
        </w:rPr>
        <w:t>173</w:t>
      </w:r>
      <w:r>
        <w:rPr>
          <w:rFonts w:ascii="Times New Roman" w:cs="Times New Roman" w:eastAsia="Times New Roman" w:hAnsi="Times New Roman"/>
          <w:sz w:val="18"/>
          <w:szCs w:val="18"/>
          <w:color w:val="auto"/>
        </w:rPr>
        <w:t xml:space="preserve"> employees in Beijing, Shanghai, Guangzhou, Chengdu, Wuhan, Thailand and Malaysia.</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employees, who are energetic and aged below 35 on average, drive the rapid growth of our business.</w:t>
      </w:r>
    </w:p>
    <w:p>
      <w:pPr>
        <w:spacing w:after="0" w:line="158"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devote management and organizational focus and resources to ensure that our culture and brand remain highly attractive to potential and existing employees. We have established comprehensive training programs that cover topics such as our corporate culture, employee rights and responsibilities, team-building, professional behavior and job performance.</w:t>
      </w:r>
    </w:p>
    <w:p>
      <w:pPr>
        <w:spacing w:after="0" w:line="95" w:lineRule="exact"/>
        <w:rPr>
          <w:sz w:val="20"/>
          <w:szCs w:val="20"/>
          <w:color w:val="auto"/>
        </w:rPr>
      </w:pPr>
    </w:p>
    <w:p>
      <w:pPr>
        <w:jc w:val="both"/>
        <w:ind w:right="40" w:firstLine="648"/>
        <w:spacing w:after="0" w:line="255" w:lineRule="auto"/>
        <w:rPr>
          <w:sz w:val="20"/>
          <w:szCs w:val="20"/>
          <w:color w:val="auto"/>
        </w:rPr>
      </w:pPr>
      <w:r>
        <w:rPr>
          <w:rFonts w:ascii="Times New Roman" w:cs="Times New Roman" w:eastAsia="Times New Roman" w:hAnsi="Times New Roman"/>
          <w:sz w:val="18"/>
          <w:szCs w:val="18"/>
          <w:color w:val="auto"/>
        </w:rPr>
        <w:t>Under regulations of mainland China, we are required to participate in and make contributions to housing funds and various employee social security plans that are organized by applicable local municipal and provincial governments, including pension, medical, work-related injury and unemployment benefit plans. See “Item 3. Key Information—D. Risk Factors—Risks Related to Our Business and Industry—Failure to make adequate contributions to various employee benefit plans as required by the regulations of mainland China may subject us to penalties.” Bonuses are generally discretionary and based in part on employee performance and in part on the overall performance of our business. We have granted, and plan to continue to grant, share-based incentive awards to our employees in the future to incentivize their contributions to our growth and development.</w:t>
      </w:r>
    </w:p>
    <w:p>
      <w:pPr>
        <w:spacing w:after="0" w:line="135"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We enter into standard labor contracts with our employees. We also enter into standard confidentiality agreements with our senior managements that contain non-compete restrictions.</w:t>
      </w:r>
    </w:p>
    <w:p>
      <w:pPr>
        <w:spacing w:after="0" w:line="108"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We believe that we maintain a good working relationship with our employees, and we have not experienced any major labor disputes. None of our employees are represented by labor unions.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 Ownership</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Except as specifically noted, the following table sets forth information with respect to the beneficial ownership of our common shares as of February 28, 2026 by:</w:t>
      </w:r>
    </w:p>
    <w:p>
      <w:pPr>
        <w:spacing w:after="0" w:line="108" w:lineRule="exact"/>
        <w:rPr>
          <w:sz w:val="20"/>
          <w:szCs w:val="20"/>
          <w:color w:val="auto"/>
        </w:rPr>
      </w:pPr>
    </w:p>
    <w:p>
      <w:pPr>
        <w:ind w:left="1000" w:hanging="317"/>
        <w:spacing w:after="0"/>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7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own beneficially more than 5% of our total outstanding shares.</w:t>
      </w:r>
    </w:p>
    <w:p>
      <w:pPr>
        <w:spacing w:after="0" w:line="1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calculations in the table below are based on 79,498,195 common shares outstanding on an as-converted basis, consisting of 62,498,006 Class A common shares (excluding treasury shares) and 17,000,189 Class B common shares, as of February 28, 2026, excluding 8,513,787 Class A common shares issuable upon the exercise of outstanding share options and vesting of restricted share units granted under our Share Incentive Plans. As of February 28, 2026, the PAG Warrant to purchase 9,666,666 common shares is outstanding.</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Shares Beneficially Owned</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140" w:type="dxa"/>
            <w:vAlign w:val="bottom"/>
          </w:tcPr>
          <w:p>
            <w:pPr>
              <w:spacing w:after="0"/>
              <w:rPr>
                <w:sz w:val="10"/>
                <w:szCs w:val="10"/>
                <w:color w:val="auto"/>
              </w:rPr>
            </w:pPr>
          </w:p>
        </w:tc>
        <w:tc>
          <w:tcPr>
            <w:tcW w:w="920" w:type="dxa"/>
            <w:vAlign w:val="bottom"/>
          </w:tcPr>
          <w:p>
            <w:pPr>
              <w:jc w:val="right"/>
              <w:ind w:right="135"/>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160" w:type="dxa"/>
            <w:vAlign w:val="bottom"/>
          </w:tcPr>
          <w:p>
            <w:pPr>
              <w:spacing w:after="0"/>
              <w:rPr>
                <w:sz w:val="10"/>
                <w:szCs w:val="10"/>
                <w:color w:val="auto"/>
              </w:rPr>
            </w:pPr>
          </w:p>
        </w:tc>
        <w:tc>
          <w:tcPr>
            <w:tcW w:w="9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0"/>
                <w:szCs w:val="10"/>
                <w:color w:val="auto"/>
              </w:rPr>
            </w:pPr>
          </w:p>
        </w:tc>
        <w:tc>
          <w:tcPr>
            <w:tcW w:w="8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260" w:type="dxa"/>
            <w:vAlign w:val="bottom"/>
          </w:tcPr>
          <w:p>
            <w:pPr>
              <w:spacing w:after="0"/>
              <w:rPr>
                <w:sz w:val="10"/>
                <w:szCs w:val="10"/>
                <w:color w:val="auto"/>
              </w:rPr>
            </w:pP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160" w:type="dxa"/>
            <w:vAlign w:val="bottom"/>
            <w:gridSpan w:val="2"/>
            <w:vMerge w:val="restart"/>
          </w:tcPr>
          <w:p>
            <w:pPr>
              <w:ind w:left="20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920" w:type="dxa"/>
            <w:vAlign w:val="bottom"/>
          </w:tcPr>
          <w:p>
            <w:pPr>
              <w:jc w:val="right"/>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common</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60" w:type="dxa"/>
            <w:vAlign w:val="bottom"/>
            <w:gridSpan w:val="2"/>
          </w:tcPr>
          <w:p>
            <w:pPr>
              <w:jc w:val="right"/>
              <w:ind w:right="175"/>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shares</w:t>
            </w:r>
          </w:p>
        </w:tc>
        <w:tc>
          <w:tcPr>
            <w:tcW w:w="1080" w:type="dxa"/>
            <w:vAlign w:val="bottom"/>
            <w:gridSpan w:val="2"/>
          </w:tcPr>
          <w:p>
            <w:pPr>
              <w:jc w:val="right"/>
              <w:ind w:right="211"/>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shares</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vMerge w:val="continue"/>
          </w:tcPr>
          <w:p>
            <w:pPr>
              <w:spacing w:after="0"/>
              <w:rPr>
                <w:sz w:val="15"/>
                <w:szCs w:val="15"/>
                <w:color w:val="auto"/>
              </w:rPr>
            </w:pPr>
          </w:p>
        </w:tc>
        <w:tc>
          <w:tcPr>
            <w:tcW w:w="102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voting power</w:t>
            </w: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Weidong Luo</w:t>
            </w:r>
            <w:r>
              <w:rPr>
                <w:rFonts w:ascii="Times New Roman" w:cs="Times New Roman" w:eastAsia="Times New Roman" w:hAnsi="Times New Roman"/>
                <w:sz w:val="25"/>
                <w:szCs w:val="25"/>
                <w:color w:val="auto"/>
                <w:vertAlign w:val="superscript"/>
              </w:rPr>
              <w:t>(1)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7,171,333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17,000,189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24,171,522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30.4 %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76.2 %</w:t>
            </w:r>
          </w:p>
        </w:tc>
        <w:tc>
          <w:tcPr>
            <w:tcW w:w="0" w:type="dxa"/>
            <w:vAlign w:val="bottom"/>
          </w:tcPr>
          <w:p>
            <w:pPr>
              <w:spacing w:after="0"/>
              <w:rPr>
                <w:sz w:val="1"/>
                <w:szCs w:val="1"/>
                <w:color w:val="auto"/>
              </w:rPr>
            </w:pPr>
          </w:p>
        </w:tc>
      </w:tr>
      <w:tr>
        <w:trPr>
          <w:trHeight w:val="216"/>
        </w:trPr>
        <w:tc>
          <w:tcPr>
            <w:tcW w:w="46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Qing Zhang</w:t>
            </w:r>
            <w:r>
              <w:rPr>
                <w:rFonts w:ascii="Times New Roman" w:cs="Times New Roman" w:eastAsia="Times New Roman" w:hAnsi="Times New Roman"/>
                <w:sz w:val="25"/>
                <w:szCs w:val="25"/>
                <w:color w:val="auto"/>
                <w:vertAlign w:val="superscript"/>
              </w:rPr>
              <w:t>(2)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221,894</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221,894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0.3 %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16"/>
        </w:trPr>
        <w:tc>
          <w:tcPr>
            <w:tcW w:w="46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Shan-Nen Bong</w:t>
            </w:r>
            <w:r>
              <w:rPr>
                <w:rFonts w:ascii="Times New Roman" w:cs="Times New Roman" w:eastAsia="Times New Roman" w:hAnsi="Times New Roman"/>
                <w:sz w:val="25"/>
                <w:szCs w:val="25"/>
                <w:color w:val="auto"/>
                <w:vertAlign w:val="superscript"/>
              </w:rPr>
              <w:t>(3)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536,241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536,241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0.7 %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16"/>
        </w:trPr>
        <w:tc>
          <w:tcPr>
            <w:tcW w:w="46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Kwok Hin Tang</w:t>
            </w:r>
            <w:r>
              <w:rPr>
                <w:rFonts w:ascii="Times New Roman" w:cs="Times New Roman" w:eastAsia="Times New Roman" w:hAnsi="Times New Roman"/>
                <w:sz w:val="25"/>
                <w:szCs w:val="25"/>
                <w:color w:val="auto"/>
                <w:vertAlign w:val="superscript"/>
              </w:rPr>
              <w:t>(4)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203,760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0.3 %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16"/>
        </w:trPr>
        <w:tc>
          <w:tcPr>
            <w:tcW w:w="46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Hon Sang Lee</w:t>
            </w:r>
            <w:r>
              <w:rPr>
                <w:rFonts w:ascii="Times New Roman" w:cs="Times New Roman" w:eastAsia="Times New Roman" w:hAnsi="Times New Roman"/>
                <w:sz w:val="25"/>
                <w:szCs w:val="25"/>
                <w:color w:val="auto"/>
                <w:vertAlign w:val="superscript"/>
              </w:rPr>
              <w:t>(5)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557,147</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557,147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0.7 %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16"/>
        </w:trPr>
        <w:tc>
          <w:tcPr>
            <w:tcW w:w="46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John Tiong Lu Koh</w:t>
            </w:r>
            <w:r>
              <w:rPr>
                <w:rFonts w:ascii="Times New Roman" w:cs="Times New Roman" w:eastAsia="Times New Roman" w:hAnsi="Times New Roman"/>
                <w:sz w:val="25"/>
                <w:szCs w:val="25"/>
                <w:color w:val="auto"/>
                <w:vertAlign w:val="superscript"/>
              </w:rPr>
              <w:t>(6)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609,813</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0.8 %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16"/>
        </w:trPr>
        <w:tc>
          <w:tcPr>
            <w:tcW w:w="46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Peter Si Ngai Yeung</w:t>
            </w:r>
            <w:r>
              <w:rPr>
                <w:rFonts w:ascii="Times New Roman" w:cs="Times New Roman" w:eastAsia="Times New Roman" w:hAnsi="Times New Roman"/>
                <w:sz w:val="25"/>
                <w:szCs w:val="25"/>
                <w:color w:val="auto"/>
                <w:vertAlign w:val="superscript"/>
              </w:rPr>
              <w:t>(7)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243,973</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243,973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0.3 %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16"/>
        </w:trPr>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9,544,161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17,000,189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26,544,350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33.4 %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77.2 %</w:t>
            </w:r>
          </w:p>
        </w:tc>
        <w:tc>
          <w:tcPr>
            <w:tcW w:w="0" w:type="dxa"/>
            <w:vAlign w:val="bottom"/>
          </w:tcPr>
          <w:p>
            <w:pPr>
              <w:spacing w:after="0"/>
              <w:rPr>
                <w:sz w:val="1"/>
                <w:szCs w:val="1"/>
                <w:color w:val="auto"/>
              </w:rPr>
            </w:pPr>
          </w:p>
        </w:tc>
      </w:tr>
      <w:tr>
        <w:trPr>
          <w:trHeight w:val="216"/>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KK Mobile Limited</w:t>
            </w:r>
            <w:r>
              <w:rPr>
                <w:rFonts w:ascii="Times New Roman" w:cs="Times New Roman" w:eastAsia="Times New Roman" w:hAnsi="Times New Roman"/>
                <w:sz w:val="25"/>
                <w:szCs w:val="25"/>
                <w:color w:val="auto"/>
                <w:vertAlign w:val="superscript"/>
              </w:rPr>
              <w:t>(8)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7,100,000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17,000,189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24,100,189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30.3 %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76.2 %</w:t>
            </w:r>
          </w:p>
        </w:tc>
        <w:tc>
          <w:tcPr>
            <w:tcW w:w="0" w:type="dxa"/>
            <w:vAlign w:val="bottom"/>
          </w:tcPr>
          <w:p>
            <w:pPr>
              <w:spacing w:after="0"/>
              <w:rPr>
                <w:sz w:val="1"/>
                <w:szCs w:val="1"/>
                <w:color w:val="auto"/>
              </w:rPr>
            </w:pPr>
          </w:p>
        </w:tc>
      </w:tr>
      <w:tr>
        <w:trPr>
          <w:trHeight w:val="216"/>
        </w:trPr>
        <w:tc>
          <w:tcPr>
            <w:tcW w:w="46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Mandra iBase Limited</w:t>
            </w:r>
            <w:r>
              <w:rPr>
                <w:rFonts w:ascii="Times New Roman" w:cs="Times New Roman" w:eastAsia="Times New Roman" w:hAnsi="Times New Roman"/>
                <w:sz w:val="25"/>
                <w:szCs w:val="25"/>
                <w:color w:val="auto"/>
                <w:vertAlign w:val="superscript"/>
              </w:rPr>
              <w:t>(9)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14,109,001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14,109,001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17.7 %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16"/>
        </w:trPr>
        <w:tc>
          <w:tcPr>
            <w:tcW w:w="46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Fosun International Limited</w:t>
            </w:r>
            <w:r>
              <w:rPr>
                <w:rFonts w:ascii="Times New Roman" w:cs="Times New Roman" w:eastAsia="Times New Roman" w:hAnsi="Times New Roman"/>
                <w:sz w:val="25"/>
                <w:szCs w:val="25"/>
                <w:color w:val="auto"/>
                <w:vertAlign w:val="superscript"/>
              </w:rPr>
              <w:t>(10)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5,791,987</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5,791,987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7.3 %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122"/>
        </w:trPr>
        <w:tc>
          <w:tcPr>
            <w:tcW w:w="2480" w:type="dxa"/>
            <w:vAlign w:val="bottom"/>
            <w:tcBorders>
              <w:bottom w:val="single" w:sz="8" w:color="auto"/>
            </w:tcBorders>
          </w:tcPr>
          <w:p>
            <w:pPr>
              <w:spacing w:after="0"/>
              <w:rPr>
                <w:sz w:val="10"/>
                <w:szCs w:val="10"/>
                <w:color w:val="auto"/>
              </w:rPr>
            </w:pPr>
          </w:p>
        </w:tc>
        <w:tc>
          <w:tcPr>
            <w:tcW w:w="2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jc w:val="both"/>
        <w:ind w:left="340" w:hanging="332"/>
        <w:spacing w:after="0" w:line="258"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or group included in this column, percentage of total voting power represents voting power based on both Class A and Class B common shares held by such person or group with respect to all outstanding shares of our Class A and Class B common shares as a single class. Each holder of our Class A common shares is entitled to one vote per share. Each holder of our Class B common shares is entitled to ten votes per share. Our Class B common shares are convertible at any time by the holder into Class A common shares on a one-for-one basis.</w:t>
      </w:r>
    </w:p>
    <w:p>
      <w:pPr>
        <w:spacing w:after="0" w:line="183" w:lineRule="exact"/>
        <w:rPr>
          <w:sz w:val="20"/>
          <w:szCs w:val="20"/>
          <w:color w:val="auto"/>
        </w:rPr>
      </w:pPr>
    </w:p>
    <w:p>
      <w:pPr>
        <w:jc w:val="both"/>
        <w:ind w:left="340" w:hanging="332"/>
        <w:spacing w:after="0" w:line="258"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Messrs. Weidong Luo, Qing Zhang, Shan-Nen Bong and Hon Sang Lee is 31/F, Block 12-A, Shenzhen Bay Science and Technology Ecological Park, Nanshan District, Shenzhen, Guangdong 518057, People’s Republic of China. Mr. Kwok Hin Tang’s business address is 10/F, Fung House, 19-20 Connaught Road Central, Hong Kong. Mr. John Tiong Lu Koh’s business address is 279 River Valley Road, #05-01, Singapore 238320. Mr. Peter Si Ngai Yeung’s business address is 5A Block 3, The Morning Glory, 1 Lok Ha Square, Shatin, Hong Kong.</w:t>
      </w:r>
    </w:p>
    <w:p>
      <w:pPr>
        <w:spacing w:after="0" w:line="183" w:lineRule="exact"/>
        <w:rPr>
          <w:sz w:val="20"/>
          <w:szCs w:val="20"/>
          <w:color w:val="auto"/>
        </w:rPr>
      </w:pPr>
    </w:p>
    <w:p>
      <w:pPr>
        <w:jc w:val="both"/>
        <w:ind w:left="340" w:hanging="332"/>
        <w:spacing w:after="0" w:line="261"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7,100,000 Class A common shares and 17,000,189 Class B common shares held by KK Mobile Limited, a British Virgin Islands company, and (ii) 5,350 ADSs, representing 71,333 Class A common shares, owned by Mr. Weidong Luo. KK Mobile Limited is wholly owned by Mr. Weidong Luo. The registered address of KK Mobile Limited is Unit 8, 3/F., Qwomar Trading Complex, Blacburne Road, Port Purcell, Road Town, Tortola, British Virgin Islands.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right="20" w:hanging="332"/>
        <w:spacing w:after="0" w:line="282"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221,627 Class A common shares Mr. Qing Zhang has the right to acquire upon exercise of share options within 60 days after February 28, 2026, and (ii) 20 ADSs, representing 267 Class A common shares, owned by Mr. Qing Zhang.</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Class A common shares Mr. Shan-Nen Bong has the right to acquire upon exercise of share options within 60 days after February 28, 2026.</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Class A common shares held by Mr. Kwok Hin Tang.</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Class A common shares held by Mr. Hon Sang Lee.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Class A common shares held by Mr. John Tiong Lu Koh.</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Class A common shares held by Mr. Peter Si Ngai Yeung.</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7,100,000 Class A common shares and 17,000,189 Class B common shares held by KK Mobile Limited.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13,825,461 Class A common shares and ADSs representing 283,540 Class A common shares, directly held by Mandra iBase Limited, a British Virgin Islands company, as reported on the Schedule 13G/A filed by Mandra iBase Limited and affiliated parties on February 11, 2022. The registered address of Mandra iBase Limited is 3rd Floor J&amp;C Building, PO Box 933, Road Town, Tortola, British Virgin Islands, VG1110. Mandra iBase Limited is wholly owned by Beansprouts Ltd., a British Virgin Islands company. The shareholders of Beansprouts Ltd. are Bing How Mui and Song Yi Zhang, each holding 50% of the issued and outstanding share capital of Beansprouts Ltd.</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434,330 ADSs, representing 5,791,067 Class A common shares held by Greatest Investments Limited, a British Virgin Islands company, and (ii) 69 ADSs, representing 920 Class A common shares, held by Fidelidade—Companhia de Seguros, S.A., as reported on the Schedule 13G/A filed by Greatest Investments Limited, Fidelidade—Companhia de Seguros, S.A. and Fosun International Limited on February 7, 2024. Greatest Investments is a wholly-owned subsidiary of Fosun International. Fidelidade is a majority-owned subsidiary of Fosun International. The address of the principal business office for Greatest Investments is Maples Corporate Services (BVI) Limited of Kingston Chambers, PO Box 173, Road Town, Tortola, British Virgin Islands. The address of the principal business office for Fidelidade is Largo do Calhariz, 30, Lisbon, Portugal. The address of the principal business office for Fosun International is Room 808, ICBC Tower, 3 Garden Road, Central, Hong Kong.</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our knowledge, as of February 28, 2026, 41,308,597 of our Class A common shares were held by one record holder in the United States, which was The Bank of New York Mellon, the depositary of the ADS program. The number of beneficial owners of the ADSs in the United States is likely to be much larger than the number of record holders of our common shares in the United States.</w:t>
      </w:r>
    </w:p>
    <w:p>
      <w:pPr>
        <w:spacing w:after="0" w:line="172" w:lineRule="exact"/>
        <w:rPr>
          <w:sz w:val="20"/>
          <w:szCs w:val="20"/>
          <w:color w:val="auto"/>
        </w:rPr>
      </w:pPr>
    </w:p>
    <w:p>
      <w:pPr>
        <w:ind w:left="660" w:right="3180" w:hanging="652"/>
        <w:spacing w:after="0" w:line="500" w:lineRule="auto"/>
        <w:tabs>
          <w:tab w:leader="none" w:pos="336"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Disclosure of a Registrant’s Action to Recover Erroneously Awarded Compensation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MAJOR SHAREHOLDERS AND RELATED PARTY TRANSACTIONS</w:t>
      </w:r>
    </w:p>
    <w:p>
      <w:pPr>
        <w:spacing w:after="0" w:line="225" w:lineRule="exact"/>
        <w:rPr>
          <w:sz w:val="20"/>
          <w:szCs w:val="20"/>
          <w:color w:val="auto"/>
        </w:rPr>
      </w:pPr>
    </w:p>
    <w:p>
      <w:pPr>
        <w:ind w:left="340" w:hanging="332"/>
        <w:spacing w:after="0"/>
        <w:tabs>
          <w:tab w:leader="none" w:pos="3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Major Shareholders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refer to “Item 6. Directors, Senior Management and Employees—E. Share Ownership.”</w:t>
      </w:r>
    </w:p>
    <w:p>
      <w:pPr>
        <w:spacing w:after="0" w:line="221" w:lineRule="exact"/>
        <w:rPr>
          <w:sz w:val="20"/>
          <w:szCs w:val="20"/>
          <w:color w:val="auto"/>
        </w:rPr>
      </w:pPr>
    </w:p>
    <w:p>
      <w:pPr>
        <w:ind w:left="340" w:hanging="332"/>
        <w:spacing w:after="0"/>
        <w:tabs>
          <w:tab w:leader="none" w:pos="3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the Variable Interest Entity and its Shareholders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Information on the Company—C. Organizational Structure.”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“Item 6. Directors, Senior Management and Employees—B. Compensation of Directors and Executive Officers— Employment Agreements and Indemnification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“Item 6. Directors, Senior Management and Employees—B. Compensation of Directors and Executive Officers—Share Incentive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Our Chief Executive Officer and Related Entities</w:t>
      </w:r>
    </w:p>
    <w:p>
      <w:pPr>
        <w:spacing w:after="0" w:line="227"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Transactions with Guangzhou Tianlang Network Technology Co., Ltd. </w:t>
      </w:r>
      <w:r>
        <w:rPr>
          <w:rFonts w:ascii="Times New Roman" w:cs="Times New Roman" w:eastAsia="Times New Roman" w:hAnsi="Times New Roman"/>
          <w:sz w:val="18"/>
          <w:szCs w:val="18"/>
          <w:color w:val="auto"/>
        </w:rPr>
        <w:t>Guangzhou Tianlang Network Technology Co., Ltd.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engages in advertising business, and Mr. Weidong Luo, our chief executive officer and chairman of our board of directors, has significant influence over this company.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2023, 2024 and 2025, there were no transactions with our chief executive officer and related entities.</w:t>
      </w:r>
    </w:p>
    <w:p>
      <w:pPr>
        <w:spacing w:after="0" w:line="221" w:lineRule="exact"/>
        <w:rPr>
          <w:sz w:val="20"/>
          <w:szCs w:val="20"/>
          <w:color w:val="auto"/>
        </w:rPr>
      </w:pPr>
    </w:p>
    <w:p>
      <w:pPr>
        <w:ind w:left="660" w:right="7080" w:hanging="652"/>
        <w:spacing w:after="0" w:line="500" w:lineRule="auto"/>
        <w:tabs>
          <w:tab w:leader="none" w:pos="336"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Interests of Experts and Counsel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25" w:lineRule="exact"/>
        <w:rPr>
          <w:sz w:val="20"/>
          <w:szCs w:val="20"/>
          <w:color w:val="auto"/>
        </w:rPr>
      </w:pPr>
    </w:p>
    <w:p>
      <w:pPr>
        <w:ind w:left="340" w:hanging="332"/>
        <w:spacing w:after="0"/>
        <w:tabs>
          <w:tab w:leader="none" w:pos="3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Consolidated Statements and Other Financial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appended consolidated financial statements filed as part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from time to time be subject to various legal or administrative claims and proceedings arising in the ordinary course of business. Litigation or any other legal or administrative proceeding, regardless of the outcome, is likely to result in substantial cost and diversion of our resources, including our management’s time and attention. We are currently not a party to, and we are not aware of any threat of, any legal or administrative proceedings that, in the opinion of our management, are likely to have any material and adverse effect on our business, financial condition, cash flow or results of operations. See “Item 3. Key Information—D. Risk Factors—Risks Related to Our Business and Industry—Allegations or lawsuits against us or our management may harm our reputation and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has discretion on whether to distribute dividends, subject to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have any present plan to pay any cash dividends on our common shares in the foreseeable future. We currently intend to retain most, if not all, of our available funds and any future earnings to operate and expand our business.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We may rely on dividends from our subsidiaries in mainland China for our cash requirements, including any payment of dividends to our shareholders. Regulations of mainland China may restrict the ability of our mainland China subsidiaries to pay dividends to us. See “Item 4. Information on the Company—B. Business Overview —Regulations—Regulations on Dividend Distribution.”</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pay any dividends on our Class A common shares, we will pay those dividends which are payable in respect of the Class A common shares underlying the ADSs to the depositary, as the registered holder of such Class A common shares, and the depositary then will pay such amounts to the ADS holders in proportion to Class A common shares underlying the ADSs held by such ADS holders, subject to the terms of the deposit agreement, including the fees and expenses payable thereunder. Cash dividends on our common shares, if any, will be paid in U.S. dollars.</w:t>
      </w:r>
    </w:p>
    <w:p>
      <w:pPr>
        <w:spacing w:after="0" w:line="179"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Significant Changes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have not experienced any significant changes since the date of our audited consolidated financial statements included in this annual report.</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THE OFFER AND LISTING</w:t>
      </w:r>
    </w:p>
    <w:p>
      <w:pPr>
        <w:spacing w:after="0" w:line="225" w:lineRule="exact"/>
        <w:rPr>
          <w:sz w:val="20"/>
          <w:szCs w:val="20"/>
          <w:color w:val="auto"/>
        </w:rPr>
      </w:pPr>
    </w:p>
    <w:p>
      <w:pPr>
        <w:jc w:val="center"/>
        <w:ind w:left="660" w:right="7440" w:hanging="652"/>
        <w:spacing w:after="0" w:line="530" w:lineRule="auto"/>
        <w:tabs>
          <w:tab w:leader="none" w:pos="336"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Offering and Listing Details </w:t>
      </w:r>
      <w:r>
        <w:rPr>
          <w:rFonts w:ascii="Times New Roman" w:cs="Times New Roman" w:eastAsia="Times New Roman" w:hAnsi="Times New Roman"/>
          <w:sz w:val="17"/>
          <w:szCs w:val="17"/>
          <w:color w:val="auto"/>
        </w:rPr>
        <w:t>See “—C. Markets.”</w:t>
      </w:r>
    </w:p>
    <w:p>
      <w:pPr>
        <w:ind w:left="340" w:hanging="332"/>
        <w:spacing w:after="0"/>
        <w:tabs>
          <w:tab w:leader="none" w:pos="3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Plan of Distribution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40" w:hanging="332"/>
        <w:spacing w:after="0"/>
        <w:tabs>
          <w:tab w:leader="none" w:pos="3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Markets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ADSs have been listed on Nasdaq since July 26, 2018 under the symbol “JG.” On December 11, 2023, we effected an ADS ratio change to adjust our common share to ADS from 3 ADSs representing 2 Class A common shares to 3 ADSs representing 40 Class A common shares.</w:t>
      </w:r>
    </w:p>
    <w:p>
      <w:pPr>
        <w:spacing w:after="0" w:line="172" w:lineRule="exact"/>
        <w:rPr>
          <w:sz w:val="20"/>
          <w:szCs w:val="20"/>
          <w:color w:val="auto"/>
        </w:rPr>
      </w:pPr>
    </w:p>
    <w:p>
      <w:pPr>
        <w:ind w:left="660" w:right="8000" w:hanging="652"/>
        <w:spacing w:after="0" w:line="530" w:lineRule="auto"/>
        <w:tabs>
          <w:tab w:leader="none" w:pos="336" w:val="left"/>
        </w:tabs>
        <w:numPr>
          <w:ilvl w:val="0"/>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Selling Shareholders </w:t>
      </w:r>
      <w:r>
        <w:rPr>
          <w:rFonts w:ascii="Times New Roman" w:cs="Times New Roman" w:eastAsia="Times New Roman" w:hAnsi="Times New Roman"/>
          <w:sz w:val="17"/>
          <w:szCs w:val="17"/>
          <w:color w:val="auto"/>
        </w:rPr>
        <w:t>Not applicable.</w:t>
      </w:r>
    </w:p>
    <w:p>
      <w:pPr>
        <w:ind w:left="340" w:hanging="332"/>
        <w:spacing w:after="0"/>
        <w:tabs>
          <w:tab w:leader="none" w:pos="3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Dilution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40" w:hanging="332"/>
        <w:spacing w:after="0"/>
        <w:tabs>
          <w:tab w:leader="none" w:pos="34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Expenses of the Issue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225" w:lineRule="exact"/>
        <w:rPr>
          <w:sz w:val="20"/>
          <w:szCs w:val="20"/>
          <w:color w:val="auto"/>
        </w:rPr>
      </w:pPr>
    </w:p>
    <w:p>
      <w:pPr>
        <w:ind w:left="340" w:hanging="332"/>
        <w:spacing w:after="0"/>
        <w:tabs>
          <w:tab w:leader="none" w:pos="3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 Capital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40" w:hanging="332"/>
        <w:spacing w:after="0"/>
        <w:tabs>
          <w:tab w:leader="none" w:pos="3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Memorandum and Articles of Association</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current amended and restated memorandum and articles of association and of the Companies Act (As Revised), insofar as they relate to the material terms of our common shares.</w:t>
      </w:r>
    </w:p>
    <w:p>
      <w:pPr>
        <w:spacing w:after="0" w:line="16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Objects of Our Company. </w:t>
      </w:r>
      <w:r>
        <w:rPr>
          <w:rFonts w:ascii="Times New Roman" w:cs="Times New Roman" w:eastAsia="Times New Roman" w:hAnsi="Times New Roman"/>
          <w:sz w:val="18"/>
          <w:szCs w:val="18"/>
          <w:color w:val="auto"/>
        </w:rPr>
        <w:t>Under our memorandum and articles of association, the objects of our company are unrestricted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the full power and authority to carry out any object not prohibited by the Cayman Islands law.</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Common Shares. </w:t>
      </w:r>
      <w:r>
        <w:rPr>
          <w:rFonts w:ascii="Times New Roman" w:cs="Times New Roman" w:eastAsia="Times New Roman" w:hAnsi="Times New Roman"/>
          <w:sz w:val="18"/>
          <w:szCs w:val="18"/>
          <w:color w:val="auto"/>
        </w:rPr>
        <w:t>Our common shares are divided into Class A common shares and Class B common shares. Holders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common shares and Class B common shares will have the same rights except for voting and conversion rights. Our common shares are issued in registered form and are issued when registered in our register of members. We may not issue shares to bearer. Our shareholders who are non-residents of the Cayman Islands may freely hold and vote their shares.</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Class B common share is automatically and immediately convertible into an equal number of Class A common shares upon the occurrence of certain matters as set forth in our memorandum and articles of association, including upon any direct or indirect sale, transfer, assignment or disposition of Class B common shares or the voting power attached to such Class B common shares through a voting proxy or otherwise by a holder thereof to any person or entity other than holders of Class B common shares or their affiliates. Class A common shares are not convertible into Class B common shares under any circumstances.</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holders of our common shares are entitled to such dividends as may be declared by our board of directors.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our shareholders may declare dividends by ordinary resolution, but no dividend shall exceed the amount recommended by our directors. Our memorandum and articles of association provide that dividends may be declared and paid out of our profits, realized or unrealized, or from any reserve set aside from funds legally available for distribution. Under the laws of the Cayman Islands, our company may pay a dividend out of either profits or share premium account, provided that in no circumstances may a dividend be paid if this would result in our company being unable to pay its debts as they fall due in the ordinary course of business.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In respect of all matters subject to a shareholders’ vote, on a show of hands, every shareholder present in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by proxy shall each have one vote, and on a poll, each holder of Class A common shares is entitled to one vote per share and each holder of Class B common shares is entitled to ten votes per share. Our Class A common shares and Class B common shares vote together as a single class on all matters submitted to a vote of our shareholders, except as may otherwise be required by law. Voting at any shareholders’ meeting is by show of hands unless a poll is (before or on the declaration of the result of the show of hands) demanded. A poll may be demanded by the chairman of such meeting or any shareholder holding not less than 10% of the votes attaching to the total common shares present in person or by proxy at the meeting.</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common shares cast at a meeting, while a special resolution requires the affirmative vote of no less than two-thirds of the votes cast attaching to the outstanding common shares at a meeting. A special resolution will be required for important matters such as a change of name or making changes to our memorandum and articles of association. Holders of the common shares may, among other things, divide or combine their shares by ordinary resolution.</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Meetings of Shareholders. </w:t>
      </w:r>
      <w:r>
        <w:rPr>
          <w:rFonts w:ascii="Times New Roman" w:cs="Times New Roman" w:eastAsia="Times New Roman" w:hAnsi="Times New Roman"/>
          <w:sz w:val="18"/>
          <w:szCs w:val="18"/>
          <w:color w:val="auto"/>
        </w:rPr>
        <w:t>As a Cayman Islands exempted company, we are not obliged by the Companies Act to call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annual general meetings. Our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Shareholders’ general meetings may be convened by our chairman or our directors (acting by a resolution of the board of directors). Advance notice of at least seven calendar days is required for the convening of our annual general shareholders’ meeting (if any) and any other general meeting of our shareholders. A quorum required for any general meeting of shareholders consists of at least one shareholder present or by proxy, holding shares which carry in aggregate not less than one-third of all votes attaching to all of our shares in issue and entitled to vote.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provide that upon the requisition of shareholders representing in aggregate not less than one-third of the votes attaching to the issued and outstanding shares of our company entitled to vote at general meetings, our board will convene an extraordinary general meeting and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Each Class B common share is convertible into one Class A common share at any time by the holder thereof.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common shares are not convertible into Class B common shares under any circumstances. Upon the occurrence of certain matters as set forth in our memorandum and articles of association, including upon any direct or indirect sale, transfer, assignment or disposition of Class B common shares by a holder thereof or the direct or indirect transfer or assignment of the voting power attached to such Class B common shares through voting proxy or otherwise to any person other than holders of Class B common shares or their affiliates, such Class B common shares will be automatically and immediately converted into an equal number of Class A common shares.</w:t>
      </w:r>
    </w:p>
    <w:p>
      <w:pPr>
        <w:spacing w:after="0" w:line="182"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Transfer of Common Shares. </w:t>
      </w:r>
      <w:r>
        <w:rPr>
          <w:rFonts w:ascii="Times New Roman" w:cs="Times New Roman" w:eastAsia="Times New Roman" w:hAnsi="Times New Roman"/>
          <w:sz w:val="18"/>
          <w:szCs w:val="18"/>
          <w:color w:val="auto"/>
        </w:rPr>
        <w:t>Subject to the restrictions set out in our memorandum and articles of association as set out below,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of our shareholders may transfer all or any of his or her common shares by an instrument of transfer in the usual or common form or any other form approved by our board of directors.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common share which is not fully paid up or on which we have a lien. Our board of directors may also decline to register any transfer of any common share unless:</w:t>
      </w:r>
    </w:p>
    <w:p>
      <w:pPr>
        <w:spacing w:after="0" w:line="162" w:lineRule="exact"/>
        <w:rPr>
          <w:sz w:val="20"/>
          <w:szCs w:val="20"/>
          <w:color w:val="auto"/>
        </w:rPr>
      </w:pPr>
    </w:p>
    <w:p>
      <w:pPr>
        <w:jc w:val="both"/>
        <w:ind w:left="1000" w:hanging="317"/>
        <w:spacing w:after="0" w:line="266"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common shares to which it relates and such other evidence as our board of directors may reasonably require to show the right of the transferor to make the transfer;</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common shares;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common share is to be transferred does not exceed four; and</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Capital Market may determine to be payable or such lesser sum as our directors may from time to time require is paid to us in respect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calendar months after the date on which the instrument of transfer was lodged, send to each of the transferor and the transferee notice of such refusal.</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required of the Nasdaq Capital Market, be suspended and the register closed at such times and for such periods as our board of directors may from time to time determine, provided, however, that the registration of transfers shall not be suspended nor the register closed for more than 30 calendar days in any calendar year as our board may determine.</w:t>
      </w:r>
    </w:p>
    <w:p>
      <w:pPr>
        <w:spacing w:after="0" w:line="1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On the winding up of our company, if the assets available for distribution amongst our shareholders shall be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Calls on Shares and Forfeiture of Shares. </w:t>
      </w:r>
      <w:r>
        <w:rPr>
          <w:rFonts w:ascii="Times New Roman" w:cs="Times New Roman" w:eastAsia="Times New Roman" w:hAnsi="Times New Roman"/>
          <w:sz w:val="18"/>
          <w:szCs w:val="18"/>
          <w:color w:val="auto"/>
        </w:rPr>
        <w:t>Our board of directors may from time to time make calls upon shareholders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unpaid on their shares in a notice served to such shareholders at least 14 calendar days prior to the specified time of payment. The shares that have been called upon and remain unpaid are subject to forfeiture.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Redemption, Repurchase and Surrender of Shares. </w:t>
      </w:r>
      <w:r>
        <w:rPr>
          <w:rFonts w:ascii="Times New Roman" w:cs="Times New Roman" w:eastAsia="Times New Roman" w:hAnsi="Times New Roman"/>
          <w:sz w:val="18"/>
          <w:szCs w:val="18"/>
          <w:color w:val="auto"/>
        </w:rPr>
        <w:t>We may issue shares on terms that such shares are subject to redemption,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option or at the option of the holders of these shares, on such terms and in such manner as may be determined, before the issue of such shares, by our board of directors or by a special resolution of our shareholders. Our Company may also repurchase any of our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Variations of Rights of Shares. </w:t>
      </w:r>
      <w:r>
        <w:rPr>
          <w:rFonts w:ascii="Times New Roman" w:cs="Times New Roman" w:eastAsia="Times New Roman" w:hAnsi="Times New Roman"/>
          <w:sz w:val="18"/>
          <w:szCs w:val="18"/>
          <w:color w:val="auto"/>
        </w:rPr>
        <w:t>If at any time, our share capital is divided into different classes of shares, the rights attached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class of shares, subject to any rights or restrictions for the time being attached to any class, may be materially adversely varied with the consent in writing of all the holders of the issued shares of that class or series or with the sanction of a resolution passed by a simple majority of the votes cast at a separate meeting of the holders of the shares of the class or series. The rights conferred upon the holders of the shares of any class issued with preferred or other rights shall not, subject to any rights or restrictions for the time being attached to the shares of that class, be deemed to be materially adversely varied by, inter alia, the creation or issue of further shares ranking pan passu with or subsequent to such existing class of shares. The rights of the shareholders shall not be deemed to be materially adversely varied by the creation or issued of shares with preferred or other rights, including, without limitation, the creation of shares with enhanced or weighted voting rights.</w:t>
      </w:r>
    </w:p>
    <w:p>
      <w:pPr>
        <w:spacing w:after="0" w:line="18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Issuance of Additional Shares. </w:t>
      </w:r>
      <w:r>
        <w:rPr>
          <w:rFonts w:ascii="Times New Roman" w:cs="Times New Roman" w:eastAsia="Times New Roman" w:hAnsi="Times New Roman"/>
          <w:sz w:val="18"/>
          <w:szCs w:val="18"/>
          <w:color w:val="auto"/>
        </w:rPr>
        <w:t>Our articles of association authorizes our board of directors to issue additional common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time to time as our board of directors shall determine, to the extent of available authorized but unissued shares.</w:t>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articles of association also authorizes our board of directors to establish from time to time one or more series of preference shares and to determine, with respect to any series of preference shares, the terms and rights of that series, including:</w:t>
      </w:r>
    </w:p>
    <w:p>
      <w:pPr>
        <w:spacing w:after="0" w:line="162" w:lineRule="exact"/>
        <w:rPr>
          <w:sz w:val="20"/>
          <w:szCs w:val="20"/>
          <w:color w:val="auto"/>
        </w:rPr>
      </w:pPr>
    </w:p>
    <w:p>
      <w:pPr>
        <w:ind w:left="1000" w:hanging="317"/>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may issue preference shares without action by our shareholders to the extent authorized but unissued.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these shares may dilute the voting power of holders of common shares.</w:t>
      </w: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Inspection of Books and Records. </w:t>
      </w:r>
      <w:r>
        <w:rPr>
          <w:rFonts w:ascii="Times New Roman" w:cs="Times New Roman" w:eastAsia="Times New Roman" w:hAnsi="Times New Roman"/>
          <w:sz w:val="18"/>
          <w:szCs w:val="18"/>
          <w:color w:val="auto"/>
        </w:rPr>
        <w:t>Holders of our common shares will have no general right under Cayman Islands law to inspect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obtain copies of our list of shareholders or our corporate records (other than our memorandum and articles of association, our register of mortgages and charges and special resolutions of our shareholders). Under Cayman Islands law, the names of our current directors can be obtained from a search conducted at the Registrar of Companies in the Cayman Islands. However, we will provide our shareholders with annual audited financial statements.</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Anti-Takeover Provisions. </w:t>
      </w:r>
      <w:r>
        <w:rPr>
          <w:rFonts w:ascii="Times New Roman" w:cs="Times New Roman" w:eastAsia="Times New Roman" w:hAnsi="Times New Roman"/>
          <w:sz w:val="18"/>
          <w:szCs w:val="18"/>
          <w:color w:val="auto"/>
        </w:rPr>
        <w:t>Some provisions of our memorandum and articles of association may discourage, delay or prevent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of control of our company or management that shareholders may consider favorable, including provisions that:</w:t>
      </w:r>
    </w:p>
    <w:p>
      <w:pPr>
        <w:spacing w:after="0" w:line="160" w:lineRule="exact"/>
        <w:rPr>
          <w:sz w:val="20"/>
          <w:szCs w:val="20"/>
          <w:color w:val="auto"/>
        </w:rPr>
      </w:pPr>
    </w:p>
    <w:p>
      <w:pPr>
        <w:jc w:val="both"/>
        <w:ind w:left="1000" w:hanging="317"/>
        <w:spacing w:after="0" w:line="266"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Exempted Company. We are </w:t>
      </w:r>
      <w:r>
        <w:rPr>
          <w:rFonts w:ascii="Times New Roman" w:cs="Times New Roman" w:eastAsia="Times New Roman" w:hAnsi="Times New Roman"/>
          <w:sz w:val="18"/>
          <w:szCs w:val="18"/>
          <w:color w:val="auto"/>
        </w:rPr>
        <w:t>an exempted company with limited liability under the Companies Act. The Companies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82" w:lineRule="exact"/>
        <w:rPr>
          <w:sz w:val="20"/>
          <w:szCs w:val="20"/>
          <w:color w:val="auto"/>
        </w:rPr>
      </w:pPr>
    </w:p>
    <w:p>
      <w:pPr>
        <w:ind w:left="1000" w:hanging="317"/>
        <w:spacing w:after="0"/>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shares with no par value;</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given for a period of up to 30 years);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 may register as a segregated portfolio company.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72" w:lineRule="exact"/>
        <w:rPr>
          <w:sz w:val="20"/>
          <w:szCs w:val="20"/>
          <w:color w:val="auto"/>
        </w:rPr>
      </w:pPr>
    </w:p>
    <w:p>
      <w:pPr>
        <w:ind w:left="340" w:hanging="332"/>
        <w:spacing w:after="0"/>
        <w:tabs>
          <w:tab w:leader="none" w:pos="3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Material Contracts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in “Item 4. Information on the Company”, “Item 7. Major Shareholders and Related Party Transactions—B. Related Party Transactions,” in this “Item 10. Additional Information—C. Material Contracts” or elsewhere in this annual report on Form 20-F.</w:t>
      </w:r>
    </w:p>
    <w:p>
      <w:pPr>
        <w:spacing w:after="0" w:line="172" w:lineRule="exact"/>
        <w:rPr>
          <w:sz w:val="20"/>
          <w:szCs w:val="20"/>
          <w:color w:val="auto"/>
        </w:rPr>
      </w:pPr>
    </w:p>
    <w:p>
      <w:pPr>
        <w:ind w:left="340" w:hanging="332"/>
        <w:spacing w:after="0"/>
        <w:tabs>
          <w:tab w:leader="none" w:pos="3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Exchange Controls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See “Item 4. Information on the Company—B. Business Overview—Regulations—Regulations on Foreign Currency Exchange.”</w:t>
      </w:r>
    </w:p>
    <w:p>
      <w:pPr>
        <w:spacing w:after="0" w:line="158" w:lineRule="exact"/>
        <w:rPr>
          <w:sz w:val="20"/>
          <w:szCs w:val="20"/>
          <w:color w:val="auto"/>
        </w:rPr>
      </w:pPr>
    </w:p>
    <w:p>
      <w:pPr>
        <w:ind w:left="340" w:hanging="332"/>
        <w:spacing w:after="0"/>
        <w:tabs>
          <w:tab w:leader="none" w:pos="34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summary of the material Cayman Islands, mainland China and U.S. federal income tax consequences of an investment in the ADSs or common shares is based upon laws and interpretations thereof in effect as of the date of this annual report, all of which are subject to change. This summary does not deal with all possible tax consequences relating to an investment in the ADSs or common shares, such as the tax consequences under U.S. state and local tax laws or under the tax laws of jurisdictions other than the Cayman Islands, the People’s Republic of China and the United States.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holders of our ADSs or common shares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our common shares will not be subject to taxation in the Cayman Islands and no withholding will be required on the payment of a dividend or capital to any holder of our common shares, nor will gains derived from the disposal of our common shares or the ADSs be subject to Cayman Islands income or corporation tax.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Mainland China Taxation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the mainland China with a “de facto management body” within the mainland China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productions, personnel, accounts and properties of an enterprise. In April 2009, the State Administration of Taxation issued a circular, known as Circular 82, which provides certain specific criteria for determining whether the “de facto management body” of a mainland China-controlled enterprise that is incorporated offshore is located in mainland China. Although this circular only applies to offshore enterprises controlled by PRC enterprises or PRC enterprise groups, not those controlled by mainland China individuals or foreigners,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mainland China enterprise or a mainland China enterprise group will be regarded as a mainland China’s tax resident by virtue of having its “de facto management body” in mainland China only if all of the following conditions are met: (i) the primary location of the day-to-day operational management and the places where they perform their duties are in the mainland China;</w:t>
      </w:r>
    </w:p>
    <w:p>
      <w:pPr>
        <w:spacing w:after="0" w:line="1" w:lineRule="exact"/>
        <w:rPr>
          <w:sz w:val="20"/>
          <w:szCs w:val="20"/>
          <w:color w:val="auto"/>
        </w:rPr>
      </w:pPr>
    </w:p>
    <w:p>
      <w:pPr>
        <w:jc w:val="both"/>
        <w:ind w:firstLine="8"/>
        <w:spacing w:after="0" w:line="253" w:lineRule="auto"/>
        <w:tabs>
          <w:tab w:leader="none" w:pos="2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relating to the enterprise’s financial and human resource matters are made or are subject to approval by organizations or personnel in the mainland China; (iii) the enterprise’s primary assets, accounting books and records, company seals, and board and shareholder resolutions, are located or maintained in the mainland China; and (iv) at least 50% of voting board members or senior executives habitually reside in the mainland China.</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that Aurora Mobile Limited is not a mainland China resident enterprise for mainland China tax purposes. Aurora Mobile Limited is not controlled by a mainland China enterprise or mainland China enterprise group and we do not believe that Aurora Mobile Limited meets all of the conditions above. Aurora Mobile Limited is a company incorporated outside the mainland China. As a holding company, its key assets are its ownership interests in its subsidiaries, and its key assets are located, and its records (including the resolutions of its board of directors and the resolutions of its shareholders) are maintained, outside the mainland China. For the same reasons, we believe our other entities outside of China are not mainland China resident enterprises either. However, the tax resident status of an enterprise is subject to determination by the mainland China’s tax authorities and uncertainties remain with respect to the interpretation of the term “de facto management body.” There can be no assurance that the PRC government will ultimately take a view that is consistent with us.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the mainland China’s tax authorities determine that Aurora Mobile Limited is a mainland China resident enterprise for enterprise income tax purposes, we may be required to withhold a 10% withholding tax from dividends we pay to our shareholders that are non-resident enterprises, including the holders of the ADSs. In addition, non-resident enterprise shareholders (including the ADS holders) may be subject to a 10% mainland China’s tax on gains realized on the sale or other disposition of ADSs or common shares, if such income is treated as sourced from within the mainland China, unless a reduced rate is available under an applicable tax treaty. It is unclear whether our non-domestic individual shareholders (including the ADS holders) would be subject to any mainland China’s tax on dividends or gains obtained by such non-domestic individual shareholders in the event we are determined to be a mainland China resident enterprise. If any mainland China’s tax were to apply to such dividends or gains, it would generally apply at a rate of 20% unless a reduced rate is available under an applicable tax treaty. It is also unclear whether non-domestic shareholders of Aurora Mobile Limited would be able to claim the benefits of any tax treaties between their country of tax residence and the mainland China in the event that Aurora Mobile Limited is treated as a mainland China resident enterprise.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Provided that our Cayman Islands holding company, Aurora Mobile Limited, is not deemed to be a mainland China resident enterprise, holders of the ADSs and common shares who are not mainland China residents will not be subject to mainland China’s income tax on dividends distributed by us or gains realized from the sale or other disposition of our common shares or the ADSs. However, under SAT Circular 7 and SAT Circular 37, where a non-resident enterprise conducts an “indirect transfer” by transferring taxable assets, including, in particular, equity interests in a mainland China resident enterprise, indirectly by disposing of the equity interests of an overseas holding company, the non-resident enterprise, being the transferor, or the transferee or the mainland China entity which directly owned such taxable assets may report to the tax authority such indirect transfer. Using a “substance over form” principle, the mainland China’s tax authority may disregard the existence of the overseas holding company if it lacks a reasonable commercial purpose and was established for the purpose of reducing, avoiding or deferring mainland China’s tax. As a result, gains derived from such indirect transfer may be subject to mainland China’s enterprise income tax, and the transferee or other person who is obligated to pay for the transfer is obligated to withhold the applicable taxes, currently at a rate of 10% for the transfer of equity interests in a mainland China resident enterprise. We and our non-resident investors may be at risk of being required to file a return and being taxed under SAT Circular 7 and SAT Circular 37, and we may be required to expend valuable resources to comply with SAT Circular 7 and SAT Circular 37, or to establish that we should not be taxed under these circulars. See “Item 3. Key Information—D. Risk Factors— Risks Related to Doing Business in China—We face uncertainty with respect to indirect transfers of equity interests in mainland China resident enterprises by their non-mainland China holding companies.”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is a summary of U.S. federal income tax considerations generally applicable to the ownership and disposition of our ADSs or Class A common shares. Unless otherwise noted, this summary addresses only U.S. Holders (as defined below) that hold our ADSs or Class A common shares as “capital assets” (generally, property held for investment) for U.S. federal income tax purposes. This summary is based on the U.S. Internal Revenue Code of 1986, as amended, (the “Code”), U.S. Treasury regulations promulgated thereunder (the “Treasury Regulations”), judicial decisions, administrative pronouncements, the income tax treaty between the United States and China (the “Treaty”), and other relevant authorities, all as in effect as of the date hereof and all of which are subject to differing interpretations and change, possibly with retroactive effect.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summary does not address U.S. federal estate, gift or other non-income tax considerations, any alternative minimum tax, the Medicare tax on certain net investment income, or any state, local or non-U.S. tax considerations, relating to the ownership or disposition of our ADSs or Class A common shares, and it does not address all aspects of U.S. federal income taxation that may be relevant to a particular holder in light of that holder’s particular circumstances or that may be relevant to certain types of holders subject to special treatment under U.S. federal income tax law, such as:</w:t>
      </w:r>
    </w:p>
    <w:p>
      <w:pPr>
        <w:spacing w:after="0" w:line="183" w:lineRule="exact"/>
        <w:rPr>
          <w:sz w:val="20"/>
          <w:szCs w:val="20"/>
          <w:color w:val="auto"/>
        </w:rPr>
      </w:pPr>
    </w:p>
    <w:p>
      <w:pPr>
        <w:ind w:left="1000" w:hanging="317"/>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other financial institutions;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 or currencies;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use a mark-to-market method of accounting;</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long-term residents;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private foundations);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20" w:hanging="317"/>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 their ADSs or our Class A common shares pursuant to any employee share option or otherwise as compensation;</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will hold their ADSs or our Class A common shares as part of a straddle, hedge, conversion, constructive sale or other integrated transaction for U.S. federal income tax purposes;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have a functional currency other than the U.S. dollar; or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our stock (by vote or value).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Prospective investors should consult their tax advisors concerning the U.S. federal income tax considerations relevant to the ownership and disposition of our ADSs or Class A common shares in light of their particular circumstances as well as any applicable state, local and non-U.S. income and other tax considerations.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(as determined for U.S. federal income tax purposes) of our ADSs or Class A common shares that is, for U.S. federal income tax purposes:</w:t>
      </w:r>
    </w:p>
    <w:p>
      <w:pPr>
        <w:spacing w:after="0" w:line="162" w:lineRule="exact"/>
        <w:rPr>
          <w:sz w:val="20"/>
          <w:szCs w:val="20"/>
          <w:color w:val="auto"/>
        </w:rPr>
      </w:pPr>
    </w:p>
    <w:p>
      <w:pPr>
        <w:ind w:left="1000" w:hanging="317"/>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that is subject to the primary supervision of a court within the United States and the control of one or more United States persons for all substantial decisions, or (ii) that has validly elected to be treated as a United States person under the applicable Treasury Regulations.</w:t>
      </w:r>
    </w:p>
    <w:p>
      <w:pPr>
        <w:spacing w:after="0" w:line="17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owns our ADSs or Class A common shares, the U.S. federal income tax treatment of a partner in the partnership will generally depend upon the status of the partner and the activities of the partnership. Partnerships holding our ADSs or Class A common shares and their partners should consult their tax advisors regarding an investment in our ADSs or Class A common shares.</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discussion below assumes that the representations contained in the deposit agreement are true and that the obligations in the deposit agreement and any related agreement have been and will be complied with in accordance with their terms. If a U.S. Holder holds ADSs, such holder should be treated as the holder of the underlying Class A common shares represented by those ADSs for U.S. federal income tax purposes, and the remainder of this discussion assumes that a U.S. Holder of our ADSs will be so treated.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gross amount of any distributions received by a U.S. Holder on our ADSs or Class A common shares (including any amounts withheld in respect of mainland China’s withholding taxes) will generally be subject to tax as dividends to the extent paid out of our current or accumulated earnings and profits, as determined for U.S. federal income tax purposes, and will generally be includible in the gross income of a U.S. Holder on the date actually or constructively received. Such dividends will not be eligible for the dividends received deduction generally allowed to U.S. corporations under the Code. The following discussion assumes that any dividends will be paid in U.S. dollars. Distributions in excess of our current and accumulated earnings and profits will be treated as a non-taxable return of capital to the extent of the U.S. Holder’s adjusted tax basis in our ADSs and Class A common shares and thereafter generally as capital gain. Because we do not intend to determine our earnings and profits in accordance with U.S. federal income tax principles, the full amount of any distribution we pay is generally expected to be treated as a dividend for U.S. federal income tax purposes.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individual or other non-corporate U.S. Holder may be subject to tax on any such dividends at the lower capital gain tax rate applicable to “qualified dividend income,” provided that certain conditions are satisfied, including that (1) the ADSs are readily tradable on an established securities market in the United States, or, in the event that we are deemed to be a mainland China resident enterprise under the tax law of mainland China, we are eligible for the benefits of the Treaty, (2) we are neither a PFIC nor treated as such with respect to a U.S. Holder for the taxable year in which the dividend is paid and the preceding taxable year, and (3) certain holding period requirements are met. Our ADSs, but not our Class A common shares, are listed on the Nasdaq Capital Market so we anticipate that our ADSs should qualify as readily tradable on an established securities market in the United States, although there can be no assurances in this regard.</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U.S. foreign tax credit purposes, dividends received on our ADSs or Class A common shares will generally be treated as income from foreign sources and will generally constitute passive category income. As described in “—Mainland China Taxation,” if we are deemed to be a mainland China resident enterprise for mainland China tax purposes, a U.S. Holder may be subject to mainland China’s withholding taxes on such dividends. Subject to certain conditions and limitations, a Treaty-eligible U.S. Holder may be entitled to claim a foreign tax credit in respect of any such mainland China withholding taxes to the extent such taxes are nonrefundable under the Treaty. Alternatively, a U.S. Holder may elect to deduct such taxes in computing its taxable income for U.S. federal income tax purposes. A U.S. Holder’s election to deduct foreign taxes instead of claiming foreign tax credits applies to all creditable foreign income taxes paid or accrued in the relevant taxable year. The rules regarding foreign tax credits and the deductibility of foreign taxes are complex. All U.S. Holders, whether or not they are Treaty eligible, should consult their tax advisors regarding the availability of foreign tax credits and the deductibility of foreign taxes in light of their particular circumstances.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ADSs or Class A Common Shares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U.S. Holder will generally recognize gain or loss on the sale or other disposition of our ADSs or Class A common shares in an amount equal to the difference between the amount realized on the disposition and the U.S. Holder’s adjusted tax basis in such ADSs or Class A common shares, as applicable. Any such gain or loss will generally be long-term capital gain or loss if the U.S. Holder’s holding period in such ADSs or our Class A common shares, as applicable, exceeds one year at the time of the disposition. Long-term capital gains of individuals and certain other non-corporate U.S. Holders are generally eligible for a reduced rate of taxation. The deductibility of capital losses may be subject to limitations.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such gain or loss will generally be treated as U.S. source income or loss for U.S. foreign tax credit purposes. However, if as described in “—Mainland China Taxation,” gains from the sale or other disposition of our ADSs or Class A common shares are subject to tax in mainland China, a Treaty-eligible U.S. Holder may apply the Treaty to treat such gains as from foreign sources for U.S. foreign tax credit purposes. Treaty-eligible U.S. Holders that do not apply the Treaty and U.S. Holders that are not Treaty-eligible may not be able to claim a foreign tax credit for any mainland China tax imposed on a sale or other disposition of our ADSs or Class A common shares. Any such U.S. Holder may instead elect to deduct such taxes in computing its taxable income for U.S. federal income tax purposes, but only for a year in which such U.S. Holder elects to do so for all foreign taxes paid or accrued during such year. The rules regarding foreign tax credits and the deductibility of foreign taxes are complex. U.S. Holders should consult their tax advisors regarding the availability of a foreign tax credit or a deduction in lieu thereof in light of their particular circumstances, as well as with respect to their eligibility for benefits under the Treaty.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passive foreign investment company, or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Passive income generally includes dividends, interest, royalties, rents, annuities, net gains from the sale or exchange of property producing such income and net foreign currency gains. Passive assets are those that give rise to passive income and include assets held for investment, as well as cash, assets readily convertible into cash, and (subject to certain exceptions) working capital. Our company’s goodwill and other unbooked intangibles are taken into account. We will be treated as owning a proportionate share of the assets and earning a proportionate share of the income of any other corporation in which we own, directly, indirectly or constructively, 25% or more (by value) of its stock.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the law in this regard is not entirely clear, we treat the VIE as being owned by us for U.S. federal income tax purposes because we control its management decisions and are entitled to substantially all of the economic benefits associated with it, and, as a result, we consolidate its results of operations in our consolidated U.S. GAAP financial statements. If it were determined, however, that we are not the owner of the VIE for U.S. federal income tax purposes, we may be treated as a PFIC for the current taxable year and any subsequent taxable year.</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Based on an analysis of our income and the value of our assets, we believe that we were not a PFIC for the taxable year ended December 31, 2025, although no assurance can be given due to the highly factual nature of such analysis. Our PFIC status for the current taxable year will not be determinable until after the close of the taxable year, and it is possible that we may be classified as a PFIC for the current taxable year and for future taxable years. We believe we were likely a PFIC in prior taxable years. No assurance can be given with respect to our PFIC status for the current taxable year or any future taxable year, however. The determination of whether we are or will become a PFIC is uncertain, because it is a fact-intensive inquiry made on an annual basis that depends, in part, on the composition of our income and assets. Fluctuations in the market price of our ADSs may influence whether we are classified as a PFIC for the current or subsequent taxable years because the value of our assets for the purpose of the asset test may be determined by reference to the market price of our ADSs from time to time (which may be volatile). The composition of our income and assets may also be affected by how, and how quickly, we use our liquid assets.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ADSs or Class A common shares, the PFIC rules discussed below under “—Passive Foreign Investment Company Rules” will generally apply to such U.S. Holder for such taxable year and, unless the U.S. Holder makes certain elections, will generally apply in future years even if we cease to be a PFIC for U.S. federal income tax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ADSs or Class A common shares, the U.S. Holder will be subject to special tax rules with respect to any “excess distribution” that the holder receives on our ADSs or Class A common shares and any gain the U.S. Holder recognizes from a sale or other disposition (including a pledge) of our ADSs or Class A common shares, unless the U.S. Holder makes a “mark-to-market” election as discussed below.</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Distributions received by a U.S. Holder on our ADSs or Class A common shares in a taxable year that are greater than 125% of the average annual distributions the U.S. Holder received in the three preceding taxable years or, if shorter, such U.S. Holder’s holding period for the ADSs or Class A common shares will be treated as excess distributions. Under these special tax rules:</w:t>
      </w:r>
    </w:p>
    <w:p>
      <w:pPr>
        <w:spacing w:after="0" w:line="176" w:lineRule="exact"/>
        <w:rPr>
          <w:sz w:val="20"/>
          <w:szCs w:val="20"/>
          <w:color w:val="auto"/>
        </w:rPr>
      </w:pPr>
    </w:p>
    <w:p>
      <w:pPr>
        <w:ind w:left="1000" w:hanging="317"/>
        <w:spacing w:after="0" w:line="282"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pro rata over the U.S. Holder’s holding period for the ADSs or Class A common shares;</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allocated to the current taxable year and to any taxable years in the U.S. Holder’s holding period prior to the first taxable year in which we are classified as a PFIC (each, a “pre-PFIC year”) will be taxable as ordinary income; and</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allocated to each prior taxable year, other than a pre-PFIC year, will be subject to tax at the highest tax rate in effect applicable to the U.S. Holder for that year, and such amounts will be increased by an additional tax equal to interest on the resulting tax deemed deferred with respect to such years.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ADSs or Class A common shares and any of our non-U.S. affiliated entities are also PFICs, the U.S. Holder will be treated as owning a proportionate amount (by value) of the shares of each such non-U.S. affiliate classified as a PFIC for purposes of the application of these rules.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ADSs or Class A common shares, we will continue to be treated as a PFIC with respect to such U.S. Holder’s ADSs or Class A common shares in future taxable years unless (i) we cease to be a PFIC and (ii) the U.S. Holder has made a “deemed sale” election under the PFIC rules. If a U.S. Holder makes a deemed sale election, the U.S. Holder will be deemed to have sold our ADSs or common shares at their fair market value as of the last day of the last year for which we were a PFIC. Any gain from such deemed sale would be treated as an excess distribution subject to the excess distribution rules described above.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Alternatively, a U.S. Holder of “marketable stock” (as defined below) in a PFIC may elect out of the excess distribution regime by making a mark-to-market election for such stock. If a U.S. Holder makes a valid mark-to-market election for the ADSs, the U.S. Holder will include in income each year an amount equal to the excess, if any, of the fair market value of the ADSs as of the close of such U.S. Holder’s taxable year over such U.S. Holder’s adjusted basis in such ADSs. The U.S. Holder is allowed a deduction for the excess, if any, of such U.S. Holder’s adjusted basis in the ADSs over their fair market value as of the close of the taxable year. Deductions are allowable, however, only to the extent of any net mark-to-market gains on the ADSs included in the U.S. Holder’s income for prior taxable years. Amounts included in the U.S. Holder’s income under a mark-to-market election, as well as gain on the actual sale or other disposition of the ADSs, will be treated as ordinary income. Ordinary loss treatment also applies to the deductible portion of any mark-to-market loss on the ADSs, as well as to any loss realized on the actual sale or disposition of the ADSs, to the extent that the amount of such loss does not exceed the net mark-to-market gains previously included in income with respect to such ADSs. The U.S. Holder’s basis in the ADSs will be adjusted to reflect any such income or loss amounts. If a U.S. Holder makes a mark-to-market election, then, in any taxable year for which we are classified as a PFIC, tax rules that apply to distributions by corporations that are not PFICs would apply to distributions by us (except that the lower applicable capital gains rate for qualified dividend income would not apply). If a U.S. Holder makes a valid mark-to-market election, and we subsequently cease to be classified as a PFIC, the U.S. Holder will not be required to take into account the mark-to-market income or loss described above during any period that we are not classified as a PFIC.</w:t>
      </w:r>
    </w:p>
    <w:p>
      <w:pPr>
        <w:spacing w:after="0" w:line="19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which is stock that is traded in other than de minimis quantities on at least 15 days during each calendar quarter, or regularly traded, on a qualified exchange or other market, as defined in applicable Regulations. The ADSs, but not our Class A common shares, are listed on the Nasdaq Capital Market, which is a qualified exchange for these purposes, and consequently, assuming that the ADSs are regularly traded, it is expected that the mark-to-market election would be available to U.S. Holders of ADSs if we are or become a PFIC. However, a mark-to-market election may not be made with respect to our Class A common shares as they are not marketable stock. Accordingly, if we are a PFIC during any year in which a U.S. Holder holds Class A common shares, such holder will generally be subject to the special tax rules discussed above.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because, as a technical matter, a mark-to-market election cannot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intend to provide the information necessary for U.S. Holders to make qualified electing fund elections, which, if available, would result in tax treatment different from the general tax treatment for PFICs described above.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U.S. Holders that own our ADSs or Class A common shares during any taxable year that we are a PFIC will generally be required to file an annual report with the IRS regarding their ownership of such shares. U.S. Holders should consult their tax advisors concerning the U.S. federal income tax considerations relevant to holding and disposing of our ADSs or Class A common shares if we were, are, or become a PFIC, including the possibility of making a mark-to-market election and the annual PFIC filing requirements, if any.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PRECEDING SUMMARY OF U.S. FEDERAL INCOME TAX CONSIDERATIONS IS INTENDED FOR GENERAL INFORMATION ONLY AND DOES NOT CONSTITUTE TAX ADVICE. U.S. HOLDERS SHOULD CONSULT THEIR TAX ADVISORS AS TO THE U.S. FEDERAL, STATE, LOCAL, AND NON-U.S. TAX CONSIDERATIONS GENERALLY APPLICABLE TO THE OWNERSHIP AND DISPOSITION OF OUR ADSs AND CLASS A COMMON SHARES IN LIGHT OF THEIR PARTICULAR CIRCUMSTANCES.</w:t>
      </w:r>
    </w:p>
    <w:p>
      <w:pPr>
        <w:spacing w:after="0" w:line="179" w:lineRule="exact"/>
        <w:rPr>
          <w:sz w:val="20"/>
          <w:szCs w:val="20"/>
          <w:color w:val="auto"/>
        </w:rPr>
      </w:pPr>
    </w:p>
    <w:p>
      <w:pPr>
        <w:ind w:left="660" w:right="7340" w:hanging="652"/>
        <w:spacing w:after="0" w:line="500" w:lineRule="auto"/>
        <w:tabs>
          <w:tab w:leader="none" w:pos="336"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Dividends and Paying Agents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Statement by Experts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Documents on Display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subject to the periodic reporting and other informational requirements of the Exchange Act. Under the Exchange Act, we are required to file reports and other information with the SEC. Specifically, we are required to file annually a Form 20-F no later than four months after the close of each fiscal year. All information we file with the SEC can be obtained over the internet at the SEC’s website at www.sec.gov. As a foreign private issuer, we are exempt from the rules under the Exchange Act prescribing the furnishing and content of quarterly reports and proxy statements, and officers, directors and principal shareholders are exempt from the short-swing profit recovery provisions, and also from the reporting provisions in the case of principal shareholders, contained in Section 16 of the Exchange Act.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furnish The Bank of New York Mellon, the depositary of the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Nasdaq Stock Market Rule 5250(d), we will post this annual report on Form 20-F on our website at ir.jiguang.cn In addition, we will provide hardcopies of our annual report free of charge to shareholders and ADS holders upon request.</w:t>
      </w:r>
    </w:p>
    <w:p>
      <w:pPr>
        <w:spacing w:after="0" w:line="158" w:lineRule="exact"/>
        <w:rPr>
          <w:sz w:val="20"/>
          <w:szCs w:val="20"/>
          <w:color w:val="auto"/>
        </w:rPr>
      </w:pPr>
    </w:p>
    <w:p>
      <w:pPr>
        <w:ind w:left="660" w:right="7780" w:hanging="652"/>
        <w:spacing w:after="0" w:line="530" w:lineRule="auto"/>
        <w:tabs>
          <w:tab w:leader="none" w:pos="336" w:val="left"/>
        </w:tabs>
        <w:numPr>
          <w:ilvl w:val="0"/>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Subsidiary Information </w:t>
      </w:r>
      <w:r>
        <w:rPr>
          <w:rFonts w:ascii="Times New Roman" w:cs="Times New Roman" w:eastAsia="Times New Roman" w:hAnsi="Times New Roman"/>
          <w:sz w:val="17"/>
          <w:szCs w:val="17"/>
          <w:color w:val="auto"/>
        </w:rPr>
        <w:t>Not applicable.</w:t>
      </w:r>
    </w:p>
    <w:p>
      <w:pPr>
        <w:ind w:left="660" w:right="6900" w:hanging="652"/>
        <w:spacing w:after="0" w:line="500" w:lineRule="auto"/>
        <w:tabs>
          <w:tab w:leader="none" w:pos="336"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Annual Report to Security Holders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significant majority of our revenues and expenses are denominated in RMB. The conversion of Renminbi into other currencies, including U.S. dollars, is based on rates set by the People’s Bank of China. The Renminbi has fluctuated against other currencies, at times significantly and unpredictably. The value of Renminbi against other currencies is affected by changes in China’s political and economic conditions and by China’s foreign exchange policies, among other things. It is difficult to predict how market forces or government policies may impact the exchange rate between Renminbi and other currencies in the future.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extent that we need to convert U.S. dollars into Renminbi for our operations, appreciation of the Renminbi against the U.S. dollar would have an adverse effect on the RMB amount we receive from the conversion. Conversely, if we decide to convert Renminbi into U.S. dollars for the purpose of making payments for dividends on our common shares or ADSs or for other business purposes, appreciation of the U.S. dollar against the Renminbi would have a negative effect on the U.S. dollar amounts available to us.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2025, we had Renminbi-denominated cash balance of approximately RMB79.1 million and U.S. dollar-denominated cash balance of US$11.8 million. Assuming we had converted RMB79.1 million into U.S. dollars at the exchange rate of RMB6.9931 for US$1.00 as of December 31, 2025, our U.S. dollar cash balance would have been US$23.1 million. If the Renminbi had depreciated by 10% against the U.S. dollar, our U.S. dollar cash balance would have been US$22.1 million instead. Assuming we had converted US$11.8 million into Renminbi at the exchange rate of RMB6.9931 for US$1.00 as of December 31, 2025, our Renminbi cash balance would have been RMB161.6 million. If the Renminbi had depreciated by 10% against the U.S. dollar, our Renminbi cash balance would have been RMB169.9 million instead.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exposure to interest rate risk primarily relates to the interest income generated by excess cash, which is mostly held in interest-bearing bank deposits. Investments in both fixed rate and floating rate interest earning instruments carry a degree of interest rate risk. Fixed rate securities may have their fair market value adversely impacted due to a rise in interest rates, while floating rate securities may produce less income than expected if interest rates fall. Due in part to these factors, our future investment income may fall short of expectations due to changes in interest rates, or we may suffer losses in principal if we have to sell securities which have declined in market value due to changes in interest rates. As of December 31, 2025, we do not have investments or borrowings that apply a floating interest rate. We have not been, and do not expect to be, exposed to material risks due to changes in interest rates, and therefore have not used any derivative financial instruments to manage such interest risk exposure.</w:t>
      </w:r>
    </w:p>
    <w:p>
      <w:pPr>
        <w:spacing w:after="0" w:line="18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DESCRIPTION OF SECURITIES OTHER THAN EQUITY SECURITIES</w:t>
      </w:r>
    </w:p>
    <w:p>
      <w:pPr>
        <w:spacing w:after="0" w:line="225" w:lineRule="exact"/>
        <w:rPr>
          <w:sz w:val="20"/>
          <w:szCs w:val="20"/>
          <w:color w:val="auto"/>
        </w:rPr>
      </w:pPr>
    </w:p>
    <w:p>
      <w:pPr>
        <w:ind w:left="660" w:right="8160" w:hanging="652"/>
        <w:spacing w:after="0" w:line="530" w:lineRule="auto"/>
        <w:tabs>
          <w:tab w:leader="none" w:pos="336" w:val="left"/>
        </w:tabs>
        <w:numPr>
          <w:ilvl w:val="0"/>
          <w:numId w:val="1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Debt Securities </w:t>
      </w:r>
      <w:r>
        <w:rPr>
          <w:rFonts w:ascii="Times New Roman" w:cs="Times New Roman" w:eastAsia="Times New Roman" w:hAnsi="Times New Roman"/>
          <w:sz w:val="17"/>
          <w:szCs w:val="17"/>
          <w:color w:val="auto"/>
        </w:rPr>
        <w:t>Not applicable.</w:t>
      </w:r>
    </w:p>
    <w:p>
      <w:pPr>
        <w:ind w:left="660" w:right="7960" w:hanging="652"/>
        <w:spacing w:after="0" w:line="530" w:lineRule="auto"/>
        <w:tabs>
          <w:tab w:leader="none" w:pos="336" w:val="left"/>
        </w:tabs>
        <w:numPr>
          <w:ilvl w:val="0"/>
          <w:numId w:val="1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Warrants and Rights </w:t>
      </w:r>
      <w:r>
        <w:rPr>
          <w:rFonts w:ascii="Times New Roman" w:cs="Times New Roman" w:eastAsia="Times New Roman" w:hAnsi="Times New Roman"/>
          <w:sz w:val="17"/>
          <w:szCs w:val="17"/>
          <w:color w:val="auto"/>
        </w:rPr>
        <w:t>Not applicable.</w:t>
      </w:r>
    </w:p>
    <w:p>
      <w:pPr>
        <w:ind w:left="340" w:hanging="332"/>
        <w:spacing w:after="0"/>
        <w:tabs>
          <w:tab w:leader="none" w:pos="3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u w:val="single" w:color="auto"/>
          <w:color w:val="auto"/>
        </w:rPr>
        <w:t>American Depositary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Charges the ADS Holders May Have to Pay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Persons depositing or withdrawing Class A common shares or ADS holders</w:t>
            </w:r>
          </w:p>
        </w:tc>
        <w:tc>
          <w:tcPr>
            <w:tcW w:w="4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​​​For:</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must pay:</w:t>
            </w: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6292215" cy="4203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42037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$5.00 (or less) per 100 ADSs (or portion of 100 ADSs)</w:t>
      </w:r>
    </w:p>
    <w:p>
      <w:pPr>
        <w:spacing w:after="0" w:line="20" w:lineRule="exact"/>
        <w:rPr>
          <w:sz w:val="20"/>
          <w:szCs w:val="20"/>
          <w:color w:val="auto"/>
        </w:rPr>
      </w:pPr>
      <w:r>
        <w:rPr>
          <w:sz w:val="20"/>
          <w:szCs w:val="20"/>
          <w:color w:val="auto"/>
        </w:rPr>
        <w:br w:type="column"/>
      </w:r>
    </w:p>
    <w:p>
      <w:pPr>
        <w:jc w:val="both"/>
        <w:ind w:left="330" w:right="40" w:hanging="330"/>
        <w:spacing w:after="0" w:line="254" w:lineRule="auto"/>
        <w:tabs>
          <w:tab w:leader="none" w:pos="33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Ads, including issuances resulting from a distribution of Class A common shares or rights or other property</w:t>
      </w:r>
    </w:p>
    <w:p>
      <w:pPr>
        <w:spacing w:after="0" w:line="196" w:lineRule="exact"/>
        <w:rPr>
          <w:sz w:val="20"/>
          <w:szCs w:val="20"/>
          <w:color w:val="auto"/>
        </w:rPr>
      </w:pPr>
    </w:p>
    <w:p>
      <w:pPr>
        <w:sectPr>
          <w:pgSz w:w="11900" w:h="16838" w:orient="portrait"/>
          <w:cols w:equalWidth="0" w:num="2">
            <w:col w:w="4230" w:space="720"/>
            <w:col w:w="4970"/>
          </w:cols>
          <w:pgMar w:left="980" w:top="513" w:right="99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Cancellation of Ads for the purpose of withdrawal, including if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 deposit agreement terminates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5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$0.05 (or less) per ADS</w:t>
            </w:r>
          </w:p>
        </w:tc>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Any cash distribution to ADS holders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5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 fee equivalent to the fee that would be payable if securities</w:t>
            </w:r>
          </w:p>
        </w:tc>
        <w:tc>
          <w:tcPr>
            <w:tcW w:w="506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   Distribution of securities distributed to holders of deposited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distributed to the ADS holders had been Class A common shares</w:t>
            </w:r>
          </w:p>
        </w:tc>
        <w:tc>
          <w:tcPr>
            <w:tcW w:w="300" w:type="dxa"/>
            <w:vAlign w:val="bottom"/>
            <w:shd w:val="clear" w:color="auto" w:fill="CCEEFF"/>
          </w:tcPr>
          <w:p>
            <w:pPr>
              <w:spacing w:after="0"/>
              <w:rPr>
                <w:sz w:val="18"/>
                <w:szCs w:val="18"/>
                <w:color w:val="auto"/>
              </w:rPr>
            </w:pPr>
          </w:p>
        </w:tc>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securities  (including  rights)  that  are  distributed  by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the Class A common shares had been deposited for issuance</w:t>
            </w:r>
          </w:p>
        </w:tc>
        <w:tc>
          <w:tcPr>
            <w:tcW w:w="300" w:type="dxa"/>
            <w:vAlign w:val="bottom"/>
            <w:shd w:val="clear" w:color="auto" w:fill="CCEEFF"/>
          </w:tcPr>
          <w:p>
            <w:pPr>
              <w:spacing w:after="0"/>
              <w:rPr>
                <w:sz w:val="18"/>
                <w:szCs w:val="18"/>
                <w:color w:val="auto"/>
              </w:rPr>
            </w:pPr>
          </w:p>
        </w:tc>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depositary to ADS holders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Ads</w:t>
            </w:r>
          </w:p>
        </w:tc>
        <w:tc>
          <w:tcPr>
            <w:tcW w:w="300" w:type="dxa"/>
            <w:vAlign w:val="bottom"/>
            <w:shd w:val="clear" w:color="auto" w:fill="CCEEFF"/>
          </w:tcPr>
          <w:p>
            <w:pPr>
              <w:spacing w:after="0"/>
              <w:rPr>
                <w:sz w:val="20"/>
                <w:szCs w:val="20"/>
                <w:color w:val="auto"/>
              </w:rPr>
            </w:pPr>
          </w:p>
        </w:tc>
        <w:tc>
          <w:tcPr>
            <w:tcW w:w="4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$0.05 (or less) per ADS per calendar year</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 Depositary services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5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Registration or transfer fees</w:t>
            </w:r>
          </w:p>
        </w:tc>
        <w:tc>
          <w:tcPr>
            <w:tcW w:w="506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   Transfer and registration of Class A common shares on our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 register to or from the name of the depositary or its agent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when you deposit or withdraw Class A common shares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5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Expenses of the depositary</w:t>
            </w:r>
          </w:p>
        </w:tc>
        <w:tc>
          <w:tcPr>
            <w:tcW w:w="506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   Cable and facsimile transmissions (when expressly provided in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 deposit agreement)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5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Converting foreign currency to U.S. dollars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Taxes and other governmental charges the depositary or the</w:t>
            </w:r>
          </w:p>
        </w:tc>
        <w:tc>
          <w:tcPr>
            <w:tcW w:w="30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47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As necessary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custodian has to pay on any ADSs or Class A common shares</w:t>
            </w:r>
          </w:p>
        </w:tc>
        <w:tc>
          <w:tcPr>
            <w:tcW w:w="30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underlying ADSs, such as stock transfer taxes, stamp duty or</w:t>
            </w:r>
          </w:p>
        </w:tc>
        <w:tc>
          <w:tcPr>
            <w:tcW w:w="30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withholding taxes</w:t>
            </w:r>
          </w:p>
        </w:tc>
        <w:tc>
          <w:tcPr>
            <w:tcW w:w="300" w:type="dxa"/>
            <w:vAlign w:val="bottom"/>
            <w:shd w:val="clear" w:color="auto" w:fill="CCEEFF"/>
          </w:tcPr>
          <w:p>
            <w:pPr>
              <w:spacing w:after="0"/>
              <w:rPr>
                <w:sz w:val="20"/>
                <w:szCs w:val="20"/>
                <w:color w:val="auto"/>
              </w:rPr>
            </w:pPr>
          </w:p>
        </w:tc>
        <w:tc>
          <w:tcPr>
            <w:tcW w:w="4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Any charges incurred by the depositary or its agents for servicing</w:t>
            </w:r>
          </w:p>
        </w:tc>
        <w:tc>
          <w:tcPr>
            <w:tcW w:w="30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47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As necessary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deposited securities</w:t>
            </w:r>
          </w:p>
        </w:tc>
        <w:tc>
          <w:tcPr>
            <w:tcW w:w="300" w:type="dxa"/>
            <w:vAlign w:val="bottom"/>
            <w:shd w:val="clear" w:color="auto" w:fill="CCEEFF"/>
          </w:tcPr>
          <w:p>
            <w:pPr>
              <w:spacing w:after="0"/>
              <w:rPr>
                <w:sz w:val="20"/>
                <w:szCs w:val="20"/>
                <w:color w:val="auto"/>
              </w:rPr>
            </w:pPr>
          </w:p>
        </w:tc>
        <w:tc>
          <w:tcPr>
            <w:tcW w:w="4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Other Payments Made by the Depositary to 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For the year ended December 31, 2025, we did not receive reimbursement from the depositary.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DEFAULTS, DIVIDEND ARREARAGES AND DELINQUENCIES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right="600"/>
        <w:spacing w:after="0" w:line="503" w:lineRule="auto"/>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 Material Modifications to the Rights of Security Holders</w:t>
      </w: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“Item 10. Additional Information—B. Memorandum and Articles of Association—Common Shares” for a description of the rights of securities holders, which remain unchanged.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following “Use of Proceeds” information relates to the registration statement on Form F-1, as amended (File Number 333-225993) in relation to our initial public offering, which was declared effective by the SEC on July 25, 2018. For the period from July 25, 2018, the date that the F-1 Registration Statement was declared effective by the SEC, to December 31, 2025, approximately US$48.6 million of the net proceeds, based on reasonable estimates, received from our initial public offering were used to invest in technology, infrastructure and research and development capabilities, and to fund investments and acquisitions of complementary businesses, assets and technologies. We also used approximately US$16 million of the net proceeds, based on reasonable estimates, for general corporate purpose including expanding and strengthening our sales and marketing activities, and share repurchase program. We still intend to use the remainder of the proceeds from our initial public offering, as disclosed in our registration statements on Form F-1, to invest in technology, infrastructure and research and development capabilities, and for general corporate purposes, including expanding and strengthening our sales and marketing activities and funding potential investments and acquisitions of complementary businesses, assets and technologies.</w:t>
      </w:r>
    </w:p>
    <w:p>
      <w:pPr>
        <w:spacing w:after="0" w:line="18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chief executive officer and chief financial officer, as appropriate, to allow timely decisions regarding required disclosure.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our chief financial officer, evaluated the effectiveness of our disclosure controls and procedures, as defined in Rules 13a-15(e) or 15d-15(e) promulgated under the Exchange Act, as of December 31, 2025. Based on that evaluation, our management, with the participation of our chief executive officer and chief financial officer have concluded that our disclosure controls and procedures are effective in ensuring that material information required to be disclosed in this annual report is recorded, processed, summarized and reported to them for assessment, and required disclosure is made within the time period specified in the rules and forms of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under Rule 13(a)-15(f) and 15(d)-15(f) of the Exchange Act. Our internal control over financial reporting is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required by Section 404 of the Sarbanes-Oxley Act of 2002 and related rules as promulgated by the Securities and Exchange Commission, our management, under the supervision and with the participation of our chief executive officer and chief financial officer, conducted an evaluation of the effectiveness of our internal control over financial reporting as of December 31, 2025 using the criteria set forth in the report “Internal Control-Integrated Framework (2013)” issued by the Committee on Sponsoring Organizations of the Treadway Commission. Based on our evaluation under the framework in Internal Control-Integrated Framework (2013), our management concluded that, as of December 31, 2025, our internal control over financial reporting was effective.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independent registered public accounting firm regarding internal control over financial reporting. As a non-accelerated filer, as defined under Rule 12b-2 of the Exchange Act, we are not subject to the auditor attestation requirements of Section 404 of the Sarbanes-Oxley Act (and the SEC rules and regulations thereunder). When these requirements begin to apply, we expect to incur additional expenses and devote increased management effort toward ensuring compliance with them.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that occurred during the period covered by this annual report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John Tiong Lu Koh, a member of our audit committee and an independent director (under the standards set forth in Rule 5605(c)(2) of the Nasdaq Stock Market Rules and Rule 10A-3 under the Securities Exchange Act of 1934), is an audit committee financial expert.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adopted a code of business conduct and ethics in June 2018 that, as amended and restated, applies to our directors, officers and employees. We have posted a copy of our code of business conduct and ethics on our website at http://ir.jiguang.cn.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Ernst &amp; Young Hua Ming LLP, our principal external auditors, for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21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73"/>
        </w:trPr>
        <w:tc>
          <w:tcPr>
            <w:tcW w:w="7820" w:type="dxa"/>
            <w:vAlign w:val="bottom"/>
            <w:vMerge w:val="restart"/>
          </w:tcPr>
          <w:p>
            <w:pPr>
              <w:ind w:left="76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820" w:type="dxa"/>
            <w:vAlign w:val="bottom"/>
            <w:vMerge w:val="continue"/>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2"/>
                <w:szCs w:val="12"/>
                <w:color w:val="auto"/>
              </w:rPr>
            </w:pPr>
          </w:p>
        </w:tc>
        <w:tc>
          <w:tcPr>
            <w:tcW w:w="2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28"/>
        </w:trPr>
        <w:tc>
          <w:tcPr>
            <w:tcW w:w="7820" w:type="dxa"/>
            <w:vAlign w:val="bottom"/>
          </w:tcPr>
          <w:p>
            <w:pPr>
              <w:spacing w:after="0"/>
              <w:rPr>
                <w:sz w:val="11"/>
                <w:szCs w:val="11"/>
                <w:color w:val="auto"/>
              </w:rPr>
            </w:pPr>
          </w:p>
        </w:tc>
        <w:tc>
          <w:tcPr>
            <w:tcW w:w="1160" w:type="dxa"/>
            <w:vAlign w:val="bottom"/>
            <w:gridSpan w:val="3"/>
          </w:tcPr>
          <w:p>
            <w:pPr>
              <w:ind w:left="360"/>
              <w:spacing w:after="0" w:line="129"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940" w:type="dxa"/>
            <w:vAlign w:val="bottom"/>
            <w:gridSpan w:val="2"/>
          </w:tcPr>
          <w:p>
            <w:pPr>
              <w:jc w:val="right"/>
              <w:ind w:right="256"/>
              <w:spacing w:after="0" w:line="129" w:lineRule="exact"/>
              <w:rPr>
                <w:sz w:val="20"/>
                <w:szCs w:val="20"/>
                <w:color w:val="auto"/>
              </w:rPr>
            </w:pPr>
            <w:r>
              <w:rPr>
                <w:rFonts w:ascii="Times New Roman" w:cs="Times New Roman" w:eastAsia="Times New Roman" w:hAnsi="Times New Roman"/>
                <w:sz w:val="14"/>
                <w:szCs w:val="14"/>
                <w:b w:val="1"/>
                <w:bCs w:val="1"/>
                <w:color w:val="auto"/>
              </w:rPr>
              <w:t>of RMB)</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5"/>
                <w:szCs w:val="25"/>
                <w:color w:val="auto"/>
                <w:vertAlign w:val="superscript"/>
              </w:rPr>
              <w:t>(1)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0" w:type="dxa"/>
            <w:vAlign w:val="bottom"/>
          </w:tcPr>
          <w:p>
            <w:pPr>
              <w:spacing w:after="0"/>
              <w:rPr>
                <w:sz w:val="1"/>
                <w:szCs w:val="1"/>
                <w:color w:val="auto"/>
              </w:rPr>
            </w:pPr>
          </w:p>
        </w:tc>
      </w:tr>
      <w:tr>
        <w:trPr>
          <w:trHeight w:val="355"/>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6"/>
                <w:szCs w:val="26"/>
                <w:color w:val="auto"/>
                <w:vertAlign w:val="superscript"/>
              </w:rPr>
              <w:t>(2)</w:t>
            </w:r>
          </w:p>
        </w:tc>
        <w:tc>
          <w:tcPr>
            <w:tcW w:w="6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260</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156845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340" w:hanging="332"/>
        <w:spacing w:after="0" w:line="282"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means the aggregate fees billed for professional services rendered by our principal auditors for the audit of our annual financial statements and the review of our comparative interim financial statements.</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 means the aggregate fees billed in each of the fiscal years listed for professional services rendered by our principal auditors for tax compliance and tax advice.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policy of our audit committee is to pre-approve all audit and other service provided by Ernst &amp; Young Hua Ming LLP as described above, other than those for de minimis services which are approved by the audit committee prior to the completion of the audit.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30, 2024, our board of directors approved a share repurchase program under which we may repurchase up to US$5 million worth our common shares or ADSs representing common shares) during the 12-month period starting from January 1, 2025. On November 13, 2025, our board of directors approved another share repurchase program under which we may repurchase up to US$10 million worth our common shares or ADSs representing common shares) until December 31, 2026.</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is a summary of the shares repurchased by us in 2025. All shares were repurchased in the open market pursuant to the foregoing repurchase plans.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vMerge w:val="restart"/>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4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ADSs that</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center"/>
              <w:ind w:right="234"/>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jc w:val="right"/>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center"/>
              <w:ind w:right="274"/>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ADSs Purchased</w:t>
            </w:r>
          </w:p>
        </w:tc>
        <w:tc>
          <w:tcPr>
            <w:tcW w:w="14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8"/>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60" w:type="dxa"/>
            <w:vAlign w:val="bottom"/>
          </w:tcPr>
          <w:p>
            <w:pPr>
              <w:spacing w:after="0"/>
              <w:rPr>
                <w:sz w:val="12"/>
                <w:szCs w:val="12"/>
                <w:color w:val="auto"/>
              </w:rPr>
            </w:pPr>
          </w:p>
        </w:tc>
        <w:tc>
          <w:tcPr>
            <w:tcW w:w="680" w:type="dxa"/>
            <w:vAlign w:val="bottom"/>
          </w:tcPr>
          <w:p>
            <w:pPr>
              <w:jc w:val="right"/>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of ADSs</w:t>
            </w:r>
          </w:p>
        </w:tc>
        <w:tc>
          <w:tcPr>
            <w:tcW w:w="16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Share</w:t>
            </w:r>
          </w:p>
        </w:tc>
        <w:tc>
          <w:tcPr>
            <w:tcW w:w="14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 Repurchase</w:t>
            </w:r>
          </w:p>
        </w:tc>
        <w:tc>
          <w:tcPr>
            <w:tcW w:w="0" w:type="dxa"/>
            <w:vAlign w:val="bottom"/>
          </w:tcPr>
          <w:p>
            <w:pPr>
              <w:spacing w:after="0"/>
              <w:rPr>
                <w:sz w:val="1"/>
                <w:szCs w:val="1"/>
                <w:color w:val="auto"/>
              </w:rPr>
            </w:pPr>
          </w:p>
        </w:tc>
      </w:tr>
      <w:tr>
        <w:trPr>
          <w:trHeight w:val="173"/>
        </w:trPr>
        <w:tc>
          <w:tcPr>
            <w:tcW w:w="4100" w:type="dxa"/>
            <w:vAlign w:val="bottom"/>
            <w:vMerge w:val="continue"/>
          </w:tcPr>
          <w:p>
            <w:pPr>
              <w:spacing w:after="0"/>
              <w:rPr>
                <w:sz w:val="15"/>
                <w:szCs w:val="15"/>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Purchased</w:t>
            </w: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ADS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purchase Program</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17, 2025 - March 31, 2025</w:t>
            </w:r>
          </w:p>
        </w:tc>
        <w:tc>
          <w:tcPr>
            <w:tcW w:w="1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16,322</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US$</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16,322</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US$</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4,829,493</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June 2, 2025 - June 27, 2025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27,470</w:t>
            </w:r>
          </w:p>
        </w:tc>
        <w:tc>
          <w:tcPr>
            <w:tcW w:w="16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w w:val="99"/>
              </w:rPr>
              <w:t>US$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27,470</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3"/>
              </w:rPr>
              <w:t>US$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4,534,609</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29, 2025 -September 30, 2025</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US$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3"/>
              </w:rPr>
              <w:t>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4,496,938</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October 1, 2025 - October 24, 2025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38,371</w:t>
            </w:r>
          </w:p>
        </w:tc>
        <w:tc>
          <w:tcPr>
            <w:tcW w:w="16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w w:val="99"/>
              </w:rPr>
              <w:t>US$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38,371</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3"/>
              </w:rPr>
              <w:t>US$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4,172,438</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17, 2025 - November 28, 2025</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US$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11,481</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3"/>
              </w:rPr>
              <w:t>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14,096,093</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December 1, 2025 - December 31, 2025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22,746</w:t>
            </w:r>
          </w:p>
        </w:tc>
        <w:tc>
          <w:tcPr>
            <w:tcW w:w="16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w w:val="99"/>
              </w:rPr>
              <w:t>US$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22,746</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3"/>
              </w:rPr>
              <w:t>US$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120,825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120,825</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93"/>
              </w:rPr>
              <w:t>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Cayman Islands exempted company listed on the Nasdaq Capital Market, we are subject to the Nasdaq Stock Market Rules. However, the Nasdaq Stock Market Rules permit a foreign private issuer like us to follow the corporate governance practices of its home country. Certain corporate governance practices in the Cayman Islands, which is our home country, may differ significantly from the Nasdaq listing standards.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Nasdaq Stock Market Rules require each issuer to hold an annual meeting of shareholders no later than one year after the end of the issuer’s fiscal year-end. Our Cayman Islands counsel has provided a letter to the Nasdaq Stock Market dated October 25, 2019 certifying that under Cayman Islands law, we are not required to hold annual shareholder meetings every year. We follow home country practice with respect to annual meetings and did not hold an annual meeting of shareholders in 2024. We may, however, hold annual shareholder meetings in the future if there are significant issues that require shareholders’ approvals. In September 2023, our board of directors approved the 2023 share incentive plan. We relied on home country practice exemption and did not convene a shareholder meeting to approve the 2023 share incentive plan. Our Cayman Islands counsel has provided a letter to the Nasdaq Stock Market certifying that under Cayman Islands law, we are not required to obtain shareholder approval in respect of the adoption of a stock option or other equity compensation arrangement, or an amendment to the stock option or other equity compensation plan.</w:t>
      </w:r>
    </w:p>
    <w:p>
      <w:pPr>
        <w:spacing w:after="0" w:line="14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“Item 3. Key Information—D. Risk Factors—Risks Related to The ADSs—Certain judgments obtained against us by our shareholders may not be enforceable.”</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the home country practices described above and elsewhere in this annual report, we are not aware of any significant ways in which our corporate governance practices differ from those followed by U.S. domestic companies under the Nasdaq Stock Market Rules.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16I.</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established insider trading policies and procedures to provide guidance on the purchases, sales, and other dispositions of our securities by our directors, officers, employees and other relevant persons, with the goal of promoting compliance with applicable insider trading laws, rules and regulations, and the listing standards of Nasdaq.</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Amended and Restated Statement of Policies Governing Material, Non-Public Information and the Prevention of Insider Trading adopted by our board of directors on November 8, 2023 is filed as Exhibit 11.2 to this annual report on Form 20-F.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implemented comprehensive cybersecurity risk assessment procedures to ensure effectiveness in cybersecurity management, strategy and governance and reporting cybersecurity risks. We have also integrated cybersecurity risk management into our overall enterprise risk management system.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developed a comprehensive cybersecurity threat defense system to address both internal and external threats. This system encompasses various levels, including network, host and application security and incorporates systematic security capabilities for threat defense, monitoring, analysis, response, deception and countermeasures. We strive to manage cybersecurity risks and protect sensitive information through various means, such as technical safeguards, procedural requirements, an intensive program of monitoring on our corporate network, continuous testing of aspects of our security posture internally and with outside vendors, a robust incident response program and regular cybersecurity awareness training for employees. We gain access to vast amounts of anonymous device-level mobile behavioral data based on services provided to application developers and store the data on our servers protected by firewalls. We generate internal IDs that label and identify mobile devices and encrypt device-level data to enhance data security. Our core data can only be accessed through computers designated for authorized use. These computers cannot be connected to the internet, and no data can be outputted to an external device. Only authorized staff can access those computers for designated purposes. Moreover, we maintain data access logs that record all attempted and successful access to our data and conduct routine manual verifications of large data requests. We also have clear and strict authorization and authentication procedures and policies in place. Our employees only have access to data directly relevant and necessary to their job responsibilities. They are allowed to access these data for limited purposes only and are required to verify authorization upon every access attempt. Besides, we engage third-party service providers to assess our internal cybersecurity programs and compliance with applicable practices and standards. Our IT department work closely with third-party service providers to ensure their compliance with our cybersecurity standards and to assess risks arising from our engagements with them. Our information security department regularly monitors the performance of our platforms and infrastructure, enabling us to respond quickly to potential problems, including potential cybersecurity threats.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have not experienced any material cybersecurity incidents or identified any material cybersecurity threats that have affected or are reasonably likely to materially affect us, our business strategy, results of operations or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of our board of directors is responsible for overseeing the Company’s cybersecurity risk management and being informed on risks from cybersecurity threats. The nominating and corporate governance committee shall review, approve and maintain oversight of the disclosure (i) on Form 6-K for material cybersecurity incidents (if any) and (ii) related to cybersecurity matters in the periodic reports (including annual report on Form 20-F) of the Company. In addition, at the management level, we have established a cybersecurity committee, which is consisted of three top executives and chaired by our cybersecurity officer, who has experience in dealing with confidentiality-related cybersecurity issues. Our cybersecurity committee is responsible for overseeing the process of assessing, identifying and managing material risks from cybersecurity threats and monitoring the prevention, detection, mitigation and remediation of material cybersecurity incident. Our cybersecurity committee reports to our nominating and corporate governance committee on (i) a quarterly basis on updates to the status of any material cybersecurity incidents or material risks from cybersecurity threats to our company, and the disclosure issues, if any, and (ii) on disclosure concerning cybersecurity matters in our annual report on Form 20-F. If a cybersecurity incident occurs, our cybersecurity committee will promptly organize relevant personnel for internal assessment and, depending on the situation, seek the opinions of external experts and legal advisors. If it is determined that the incident could potentially be a material cybersecurity event, our cybersecurity committee will promptly report the investigation and assessment results to our nominating and corporate governance committee and our disclosure committee. If such disclosure is determined to be necessary, our cybersecurity committee shall promptly prepare disclosure material for review and approval by our nominating and corporate governance committee or board of directors, as appropriate, before it is disseminated to the public.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consolidated financial statements of Aurora Mobile Limited are included at the end of this annual report.</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19.</w:t>
            </w:r>
          </w:p>
        </w:tc>
        <w:tc>
          <w:tcPr>
            <w:tcW w:w="9060" w:type="dxa"/>
            <w:vAlign w:val="bottom"/>
            <w:gridSpan w:val="16"/>
          </w:tcPr>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96"/>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4"/>
                <w:szCs w:val="24"/>
                <w:color w:val="auto"/>
              </w:rPr>
            </w:pPr>
          </w:p>
        </w:tc>
        <w:tc>
          <w:tcPr>
            <w:tcW w:w="8840" w:type="dxa"/>
            <w:vAlign w:val="bottom"/>
            <w:gridSpan w:val="15"/>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1"/>
                <w:szCs w:val="21"/>
                <w:color w:val="auto"/>
              </w:rPr>
            </w:pPr>
          </w:p>
        </w:tc>
        <w:tc>
          <w:tcPr>
            <w:tcW w:w="8840" w:type="dxa"/>
            <w:vAlign w:val="bottom"/>
            <w:gridSpan w:val="15"/>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Description of Document</w:t>
            </w:r>
          </w:p>
        </w:tc>
      </w:tr>
      <w:tr>
        <w:trPr>
          <w:trHeight w:val="398"/>
        </w:trPr>
        <w:tc>
          <w:tcPr>
            <w:tcW w:w="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660" w:type="dxa"/>
            <w:vAlign w:val="bottom"/>
            <w:tcBorders>
              <w:top w:val="single" w:sz="8" w:color="auto"/>
              <w:bottom w:val="single" w:sz="8" w:color="0000EE"/>
            </w:tcBorders>
            <w:gridSpan w:val="14"/>
          </w:tcPr>
          <w:p>
            <w:pPr>
              <w:spacing w:after="0"/>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Seventh Amended and Restated Memorandum and Articles of Association of the Registrant effective July 30 2018</w:t>
              </w:r>
            </w:hyperlink>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60" w:type="dxa"/>
            <w:vAlign w:val="bottom"/>
            <w:gridSpan w:val="14"/>
          </w:tcPr>
          <w:p>
            <w:pPr>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(incorporated herein by reference to Exhibit 3.2 to the Form F-1 filed on June 29, 2018 (File No. 333-225993))</w:t>
              </w:r>
            </w:hyperlink>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Registrant’s Specimen American Depositary Receipt (incorporated herein by reference to Exhibit 4.3 to the Form S-</w:t>
              </w:r>
            </w:hyperlink>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60" w:type="dxa"/>
            <w:vAlign w:val="bottom"/>
            <w:gridSpan w:val="14"/>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8 filed on December 17, 2018 (File No. 333-228839))</w:t>
              </w:r>
            </w:hyperlink>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Registrant’s Specimen Certificate for Class A Common Shares (incorporated herein by reference to Exhibit 4.2 to the</w:t>
              </w:r>
            </w:hyperlink>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76">
              <w:r>
                <w:rPr>
                  <w:rFonts w:ascii="Times New Roman" w:cs="Times New Roman" w:eastAsia="Times New Roman" w:hAnsi="Times New Roman"/>
                  <w:sz w:val="18"/>
                  <w:szCs w:val="18"/>
                  <w:color w:val="0000EE"/>
                  <w:w w:val="99"/>
                </w:rPr>
                <w:t>Form F-1/A filed on July 13, 2018 (File No. 333-225993))</w:t>
              </w:r>
            </w:hyperlink>
          </w:p>
        </w:tc>
        <w:tc>
          <w:tcPr>
            <w:tcW w:w="4460" w:type="dxa"/>
            <w:vAlign w:val="bottom"/>
            <w:gridSpan w:val="6"/>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Deposit Agreement among the Registrant, the depositary and holder of the American Depositary Receipts, dated</w:t>
              </w:r>
            </w:hyperlink>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July 25, 2018 (incorporated herein by reference to Exhibit 4.3 to the Form S-8 filed on December 17, 2018</w:t>
              </w:r>
            </w:hyperlink>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75">
              <w:r>
                <w:rPr>
                  <w:rFonts w:ascii="Times New Roman" w:cs="Times New Roman" w:eastAsia="Times New Roman" w:hAnsi="Times New Roman"/>
                  <w:sz w:val="18"/>
                  <w:szCs w:val="18"/>
                  <w:color w:val="0000EE"/>
                  <w:w w:val="98"/>
                </w:rPr>
                <w:t>(File No. 333-228839))</w:t>
              </w:r>
            </w:hyperlink>
          </w:p>
        </w:tc>
        <w:tc>
          <w:tcPr>
            <w:tcW w:w="6980" w:type="dxa"/>
            <w:vAlign w:val="bottom"/>
            <w:gridSpan w:val="12"/>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Fourth Shareholders Agreement between the Registrant and other parties thereto dated May 10, 2017 (incorporated</w:t>
              </w:r>
            </w:hyperlink>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60" w:type="dxa"/>
            <w:vAlign w:val="bottom"/>
            <w:gridSpan w:val="14"/>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herein by reference to Exhibit 4.4 to the Form F-1 filed on June 29, 2018 (File No. 333-225993))</w:t>
              </w:r>
            </w:hyperlink>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96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Description of Securities</w:t>
              </w:r>
            </w:hyperlink>
          </w:p>
        </w:tc>
        <w:tc>
          <w:tcPr>
            <w:tcW w:w="1700" w:type="dxa"/>
            <w:vAlign w:val="bottom"/>
            <w:gridSpan w:val="3"/>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60" w:type="dxa"/>
            <w:vAlign w:val="bottom"/>
            <w:gridSpan w:val="14"/>
          </w:tcPr>
          <w:p>
            <w:pPr>
              <w:spacing w:after="0"/>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2014 Stock Incentive Plan (incorporated herein by reference to Exhibit 10.1 to the Form F-1 filed on June 29, 2018</w:t>
              </w:r>
            </w:hyperlink>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79">
              <w:r>
                <w:rPr>
                  <w:rFonts w:ascii="Times New Roman" w:cs="Times New Roman" w:eastAsia="Times New Roman" w:hAnsi="Times New Roman"/>
                  <w:sz w:val="18"/>
                  <w:szCs w:val="18"/>
                  <w:color w:val="0000EE"/>
                  <w:w w:val="98"/>
                </w:rPr>
                <w:t>(File No. 333-225993))</w:t>
              </w:r>
            </w:hyperlink>
          </w:p>
        </w:tc>
        <w:tc>
          <w:tcPr>
            <w:tcW w:w="6960" w:type="dxa"/>
            <w:vAlign w:val="bottom"/>
            <w:tcBorders>
              <w:top w:val="single" w:sz="8" w:color="0000EE"/>
            </w:tcBorders>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2017 Stock Incentive Plan, as amended (incorporated herein by reference to Exhibit 10.2 to the Form F-1 filed on</w:t>
              </w:r>
            </w:hyperlink>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60" w:type="dxa"/>
            <w:vAlign w:val="bottom"/>
            <w:gridSpan w:val="14"/>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June 29, 2018 (File No. 333-225993))</w:t>
              </w:r>
            </w:hyperlink>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60" w:type="dxa"/>
            <w:vAlign w:val="bottom"/>
            <w:gridSpan w:val="14"/>
          </w:tcPr>
          <w:p>
            <w:pPr>
              <w:spacing w:after="0"/>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2021 Share Incentive Plan (incorporated herein by reference to Exhibit 10.1 to the Form S-8 filed on January 18, 2022</w:t>
              </w:r>
            </w:hyperlink>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81">
              <w:r>
                <w:rPr>
                  <w:rFonts w:ascii="Times New Roman" w:cs="Times New Roman" w:eastAsia="Times New Roman" w:hAnsi="Times New Roman"/>
                  <w:sz w:val="18"/>
                  <w:szCs w:val="18"/>
                  <w:color w:val="0000EE"/>
                  <w:w w:val="98"/>
                </w:rPr>
                <w:t>(File No. 333-262205))</w:t>
              </w:r>
            </w:hyperlink>
          </w:p>
        </w:tc>
        <w:tc>
          <w:tcPr>
            <w:tcW w:w="6960" w:type="dxa"/>
            <w:vAlign w:val="bottom"/>
            <w:tcBorders>
              <w:top w:val="single" w:sz="8" w:color="0000EE"/>
            </w:tcBorders>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2023 Share Incentive Plan (incorporated herein by reference to Exhibit 10.1 to the Form S-8 filed on September 14,</w:t>
              </w:r>
            </w:hyperlink>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60" w:type="dxa"/>
            <w:vAlign w:val="bottom"/>
            <w:gridSpan w:val="14"/>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2023 (File No. 333-274505))</w:t>
              </w:r>
            </w:hyperlink>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Form of Indemnification Agreement between the Registrant and its directors and executive officers (incorporated herein</w:t>
              </w:r>
            </w:hyperlink>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60" w:type="dxa"/>
            <w:vAlign w:val="bottom"/>
            <w:gridSpan w:val="14"/>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by reference to Exhibit 10.3 to the Form F-1/A filed on July 13, 2018 (File No. 333-225993))</w:t>
              </w:r>
            </w:hyperlink>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440" w:type="dxa"/>
            <w:vAlign w:val="bottom"/>
            <w:gridSpan w:val="6"/>
            <w:shd w:val="clear" w:color="auto" w:fill="0000EE"/>
          </w:tcPr>
          <w:p>
            <w:pPr>
              <w:spacing w:after="0" w:line="20" w:lineRule="exact"/>
              <w:rPr>
                <w:sz w:val="1"/>
                <w:szCs w:val="1"/>
                <w:color w:val="auto"/>
              </w:rPr>
            </w:pPr>
          </w:p>
        </w:tc>
        <w:tc>
          <w:tcPr>
            <w:tcW w:w="1380" w:type="dxa"/>
            <w:vAlign w:val="bottom"/>
            <w:tcBorders>
              <w:left w:val="single" w:sz="8" w:color="0000EE"/>
            </w:tcBorders>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Form of Employment Agreement between the Registrant and its executive officers (incorporated herein by reference to</w:t>
              </w:r>
            </w:hyperlink>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60" w:type="dxa"/>
            <w:vAlign w:val="bottom"/>
            <w:gridSpan w:val="14"/>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Exhibit 10.4 to the Form F-1 filed on July 13, 2018 (File No. 333-225993))</w:t>
              </w:r>
            </w:hyperlink>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440" w:type="dxa"/>
            <w:vAlign w:val="bottom"/>
            <w:gridSpan w:val="6"/>
            <w:shd w:val="clear" w:color="auto" w:fill="0000EE"/>
          </w:tcPr>
          <w:p>
            <w:pPr>
              <w:spacing w:after="0" w:line="20" w:lineRule="exact"/>
              <w:rPr>
                <w:sz w:val="1"/>
                <w:szCs w:val="1"/>
                <w:color w:val="auto"/>
              </w:rPr>
            </w:pPr>
          </w:p>
        </w:tc>
        <w:tc>
          <w:tcPr>
            <w:tcW w:w="1380" w:type="dxa"/>
            <w:vAlign w:val="bottom"/>
            <w:tcBorders>
              <w:left w:val="single" w:sz="8" w:color="0000EE"/>
            </w:tcBorders>
            <w:gridSpan w:val="2"/>
            <w:shd w:val="clear" w:color="auto" w:fill="0000EE"/>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English Translation of the Term Loan Agreement between the Registrant and Shanghai Pudong Development Bank</w:t>
              </w:r>
            </w:hyperlink>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dated April 16, 2021 (incorporated herein by reference to Exhibit 99.2 to the Form 6-K filed on November 10, 2021</w:t>
              </w:r>
            </w:hyperlink>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60" w:type="dxa"/>
            <w:vAlign w:val="bottom"/>
            <w:gridSpan w:val="14"/>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(File No. 001-38587))</w:t>
              </w:r>
            </w:hyperlink>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46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60" w:type="dxa"/>
            <w:vAlign w:val="bottom"/>
            <w:gridSpan w:val="14"/>
          </w:tcPr>
          <w:p>
            <w:pPr>
              <w:spacing w:after="0"/>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English translation of Termination Agreement of Contractual Agreements among Shenzhen JPush, Hexun Huagu and</w:t>
              </w:r>
            </w:hyperlink>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20" w:type="dxa"/>
            <w:vAlign w:val="bottom"/>
            <w:gridSpan w:val="7"/>
            <w:shd w:val="clear" w:color="auto" w:fill="0000EE"/>
          </w:tcPr>
          <w:p>
            <w:pPr>
              <w:spacing w:after="0" w:line="20" w:lineRule="exact"/>
              <w:rPr>
                <w:sz w:val="1"/>
                <w:szCs w:val="1"/>
                <w:color w:val="auto"/>
              </w:rPr>
            </w:pPr>
          </w:p>
        </w:tc>
        <w:tc>
          <w:tcPr>
            <w:tcW w:w="4620" w:type="dxa"/>
            <w:vAlign w:val="bottom"/>
            <w:tcBorders>
              <w:left w:val="single" w:sz="8" w:color="0000EE"/>
            </w:tcBorders>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the shareholders of Hexun Huagu dated July 26, 2022 (incorporated herein by reference to Exhibit 4.8 to the Form F-</w:t>
              </w:r>
            </w:hyperlink>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60" w:type="dxa"/>
            <w:vAlign w:val="bottom"/>
            <w:gridSpan w:val="14"/>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3/A filed on September 22 2022 (File No. 333-260944))</w:t>
              </w:r>
            </w:hyperlink>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20" w:type="dxa"/>
            <w:vAlign w:val="bottom"/>
            <w:gridSpan w:val="7"/>
            <w:shd w:val="clear" w:color="auto" w:fill="0000EE"/>
          </w:tcPr>
          <w:p>
            <w:pPr>
              <w:spacing w:after="0" w:line="20" w:lineRule="exact"/>
              <w:rPr>
                <w:sz w:val="1"/>
                <w:szCs w:val="1"/>
                <w:color w:val="auto"/>
              </w:rPr>
            </w:pPr>
          </w:p>
        </w:tc>
        <w:tc>
          <w:tcPr>
            <w:tcW w:w="4640" w:type="dxa"/>
            <w:vAlign w:val="bottom"/>
            <w:gridSpan w:val="7"/>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English translation of the Shareholder Voting Proxy Agreement among the Registrant, Shenzhen JPush and the</w:t>
              </w:r>
            </w:hyperlink>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shareholders of Hexun Huagu dated July 26, 2022 (incorporated herein by reference to Exhibit 4.9 to the Form F-</w:t>
              </w:r>
            </w:hyperlink>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60" w:type="dxa"/>
            <w:vAlign w:val="bottom"/>
            <w:gridSpan w:val="14"/>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3/A filed on September 22, 2022 (File No. 333-260944))</w:t>
              </w:r>
            </w:hyperlink>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420" w:type="dxa"/>
            <w:vAlign w:val="bottom"/>
          </w:tcPr>
          <w:p>
            <w:pPr>
              <w:spacing w:after="0"/>
              <w:rPr>
                <w:sz w:val="17"/>
                <w:szCs w:val="17"/>
                <w:color w:val="auto"/>
              </w:rPr>
            </w:pPr>
          </w:p>
        </w:tc>
        <w:tc>
          <w:tcPr>
            <w:tcW w:w="86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English translation of the Equity Interest Pledge Agreements among Shenzhen JPush, Hexun Huagu and the</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shareholders of Hexun Huagu dated July 26, 2022 (incorporated herein by reference to Exhibit 4.10 to the Form F-</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89">
              <w:r>
                <w:rPr>
                  <w:rFonts w:ascii="Times New Roman" w:cs="Times New Roman" w:eastAsia="Times New Roman" w:hAnsi="Times New Roman"/>
                  <w:sz w:val="18"/>
                  <w:szCs w:val="18"/>
                  <w:color w:val="0000EE"/>
                  <w:w w:val="98"/>
                </w:rPr>
                <w:t>3/A filed on September 22, 2022 (File No. 333-260944))</w:t>
              </w:r>
            </w:hyperlink>
          </w:p>
        </w:tc>
        <w:tc>
          <w:tcPr>
            <w:tcW w:w="46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420" w:type="dxa"/>
            <w:vAlign w:val="bottom"/>
          </w:tcPr>
          <w:p>
            <w:pPr>
              <w:spacing w:after="0"/>
              <w:rPr>
                <w:sz w:val="24"/>
                <w:szCs w:val="24"/>
                <w:color w:val="auto"/>
              </w:rPr>
            </w:pPr>
          </w:p>
        </w:tc>
        <w:tc>
          <w:tcPr>
            <w:tcW w:w="86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English translation of the Exclusive Option Agreements among Shenzhen JPush, Hexun Huagu and the shareholders of</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Hexun Huagu dated July 26 2022 (incorporated herein by reference to Exhibit 4.11 to the Form F-3/A filed on</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1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90">
              <w:r>
                <w:rPr>
                  <w:rFonts w:ascii="Times New Roman" w:cs="Times New Roman" w:eastAsia="Times New Roman" w:hAnsi="Times New Roman"/>
                  <w:sz w:val="18"/>
                  <w:szCs w:val="18"/>
                  <w:color w:val="0000EE"/>
                  <w:w w:val="98"/>
                </w:rPr>
                <w:t>September 22, 2022 (File No. 333-260944))</w:t>
              </w:r>
            </w:hyperlink>
          </w:p>
        </w:tc>
        <w:tc>
          <w:tcPr>
            <w:tcW w:w="55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420" w:type="dxa"/>
            <w:vAlign w:val="bottom"/>
          </w:tcPr>
          <w:p>
            <w:pPr>
              <w:spacing w:after="0"/>
              <w:rPr>
                <w:sz w:val="24"/>
                <w:szCs w:val="24"/>
                <w:color w:val="auto"/>
              </w:rPr>
            </w:pPr>
          </w:p>
        </w:tc>
        <w:tc>
          <w:tcPr>
            <w:tcW w:w="86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English translation of the Exclusive Business Cooperation Agreement between Shenzhen JPush and Hexun Huagu dated</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60" w:type="dxa"/>
            <w:vAlign w:val="bottom"/>
            <w:gridSpan w:val="16"/>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July 26, 2022 (incorporated herein by reference to Exhibit 4.12 to the Form F-3/A filed on September 22, 2022</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(File No. 333-260944))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420" w:type="dxa"/>
            <w:vAlign w:val="bottom"/>
          </w:tcPr>
          <w:p>
            <w:pPr>
              <w:spacing w:after="0"/>
              <w:rPr>
                <w:sz w:val="24"/>
                <w:szCs w:val="24"/>
                <w:color w:val="auto"/>
              </w:rPr>
            </w:pPr>
          </w:p>
        </w:tc>
        <w:tc>
          <w:tcPr>
            <w:tcW w:w="8660" w:type="dxa"/>
            <w:vAlign w:val="bottom"/>
            <w:gridSpan w:val="16"/>
          </w:tcPr>
          <w:p>
            <w:pPr>
              <w:spacing w:after="0"/>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English translation of the Financial Support Agreement among the Registrant, Hexun Huagu and the shareholders of</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Hexun Huagu dated July 26, 2022 (incorporated herein by reference to Exhibit 4.13 to the Form F-3/A filed on</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1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92">
              <w:r>
                <w:rPr>
                  <w:rFonts w:ascii="Times New Roman" w:cs="Times New Roman" w:eastAsia="Times New Roman" w:hAnsi="Times New Roman"/>
                  <w:sz w:val="18"/>
                  <w:szCs w:val="18"/>
                  <w:color w:val="0000EE"/>
                  <w:w w:val="98"/>
                </w:rPr>
                <w:t>September 22, 2022 (File No. 333-260944))</w:t>
              </w:r>
            </w:hyperlink>
          </w:p>
        </w:tc>
        <w:tc>
          <w:tcPr>
            <w:tcW w:w="55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420" w:type="dxa"/>
            <w:vAlign w:val="bottom"/>
          </w:tcPr>
          <w:p>
            <w:pPr>
              <w:spacing w:after="0"/>
              <w:rPr>
                <w:sz w:val="24"/>
                <w:szCs w:val="24"/>
                <w:color w:val="auto"/>
              </w:rPr>
            </w:pPr>
          </w:p>
        </w:tc>
        <w:tc>
          <w:tcPr>
            <w:tcW w:w="86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English translation of the Form of the Consent Letter granted by each shareholder of Hexun Huagu and its spouse as</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currently in effect, and a schedule of all executed Consent Letters adopting the same form (incorporated herein by</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9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reference to Exhibit 4.14 to the Form F-3/A filed on September 22, 2022 (File No. 333-260944))</w:t>
              </w:r>
            </w:hyperlink>
          </w:p>
        </w:tc>
        <w:tc>
          <w:tcPr>
            <w:tcW w:w="17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420" w:type="dxa"/>
            <w:vAlign w:val="bottom"/>
          </w:tcPr>
          <w:p>
            <w:pPr>
              <w:spacing w:after="0"/>
              <w:rPr>
                <w:sz w:val="24"/>
                <w:szCs w:val="24"/>
                <w:color w:val="auto"/>
              </w:rPr>
            </w:pPr>
          </w:p>
        </w:tc>
        <w:tc>
          <w:tcPr>
            <w:tcW w:w="86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English translation of the Equity Transfer Agreement among Hexun Huagu and certain shareholders of Wuhan</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SendCloud dated February 24, 2022 (incorporated herein by reference to Exhibit 4.15 to the 20-F filed on April 12,</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r:id="rId194">
              <w:r>
                <w:rPr>
                  <w:rFonts w:ascii="Times New Roman" w:cs="Times New Roman" w:eastAsia="Times New Roman" w:hAnsi="Times New Roman"/>
                  <w:sz w:val="18"/>
                  <w:szCs w:val="18"/>
                  <w:color w:val="0000EE"/>
                  <w:w w:val="97"/>
                </w:rPr>
                <w:t>2024 (File No. 001-38587))</w:t>
              </w:r>
            </w:hyperlink>
          </w:p>
        </w:tc>
        <w:tc>
          <w:tcPr>
            <w:tcW w:w="66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3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At Market Issuance Sales Agreement by and between the Registrant and China Renaissance Securities (Hong Kong)</w:t>
              </w:r>
            </w:hyperlink>
          </w:p>
        </w:tc>
        <w:tc>
          <w:tcPr>
            <w:tcW w:w="3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4.16</w:t>
            </w:r>
          </w:p>
        </w:tc>
        <w:tc>
          <w:tcPr>
            <w:tcW w:w="420" w:type="dxa"/>
            <w:vAlign w:val="bottom"/>
          </w:tcPr>
          <w:p>
            <w:pPr>
              <w:spacing w:after="0"/>
              <w:rPr>
                <w:sz w:val="17"/>
                <w:szCs w:val="17"/>
                <w:color w:val="auto"/>
              </w:rPr>
            </w:pPr>
          </w:p>
        </w:tc>
        <w:tc>
          <w:tcPr>
            <w:tcW w:w="8660" w:type="dxa"/>
            <w:vAlign w:val="bottom"/>
            <w:gridSpan w:val="16"/>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Limited, dated May 14, 2025 (incorporated herein by reference to Exhibit 1.1 to the 6-K filed on May 14, 2025 (File</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36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No. 001-38587))</w:t>
              </w:r>
            </w:hyperlink>
          </w:p>
        </w:tc>
        <w:tc>
          <w:tcPr>
            <w:tcW w:w="3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4.17</w:t>
            </w:r>
          </w:p>
        </w:tc>
        <w:tc>
          <w:tcPr>
            <w:tcW w:w="420" w:type="dxa"/>
            <w:vAlign w:val="bottom"/>
          </w:tcPr>
          <w:p>
            <w:pPr>
              <w:spacing w:after="0"/>
              <w:rPr>
                <w:sz w:val="24"/>
                <w:szCs w:val="24"/>
                <w:color w:val="auto"/>
              </w:rPr>
            </w:pPr>
          </w:p>
        </w:tc>
        <w:tc>
          <w:tcPr>
            <w:tcW w:w="8660" w:type="dxa"/>
            <w:vAlign w:val="bottom"/>
            <w:gridSpan w:val="16"/>
          </w:tcPr>
          <w:p>
            <w:pPr>
              <w:spacing w:after="0"/>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Warrant to Purchase Common Shares issued by the Registrant to PM Partners I LP on February 11, 2026 (incorporated</w:t>
              </w:r>
            </w:hyperlink>
          </w:p>
        </w:tc>
        <w:tc>
          <w:tcPr>
            <w:tcW w:w="0" w:type="dxa"/>
            <w:vAlign w:val="bottom"/>
          </w:tcPr>
          <w:p>
            <w:pPr>
              <w:spacing w:after="0"/>
              <w:rPr>
                <w:sz w:val="1"/>
                <w:szCs w:val="1"/>
                <w:color w:val="auto"/>
              </w:rPr>
            </w:pPr>
          </w:p>
        </w:tc>
      </w:tr>
      <w:tr>
        <w:trPr>
          <w:trHeight w:val="129"/>
        </w:trPr>
        <w:tc>
          <w:tcPr>
            <w:tcW w:w="8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8520" w:type="dxa"/>
            <w:vAlign w:val="bottom"/>
            <w:tcBorders>
              <w:top w:val="single" w:sz="8" w:color="0000EE"/>
            </w:tcBorders>
            <w:gridSpan w:val="14"/>
            <w:vMerge w:val="restart"/>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herein by reference to Exhibit 4.1 to the Form 6-K filed on February 11, 2026 (File No. 001-38587))</w:t>
              </w:r>
            </w:hyperlink>
          </w:p>
        </w:tc>
        <w:tc>
          <w:tcPr>
            <w:tcW w:w="140" w:type="dxa"/>
            <w:vAlign w:val="bottom"/>
            <w:gridSpan w:val="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520" w:type="dxa"/>
            <w:vAlign w:val="bottom"/>
            <w:gridSpan w:val="14"/>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9080" w:type="dxa"/>
            <w:vAlign w:val="bottom"/>
            <w:gridSpan w:val="17"/>
          </w:tcPr>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List of Subsidiaries and Consolidated Variable Interest Entity of the Registrant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420" w:type="dxa"/>
            <w:vAlign w:val="bottom"/>
          </w:tcPr>
          <w:p>
            <w:pPr>
              <w:spacing w:after="0"/>
              <w:rPr>
                <w:sz w:val="24"/>
                <w:szCs w:val="24"/>
                <w:color w:val="auto"/>
              </w:rPr>
            </w:pPr>
          </w:p>
        </w:tc>
        <w:tc>
          <w:tcPr>
            <w:tcW w:w="8660" w:type="dxa"/>
            <w:vAlign w:val="bottom"/>
            <w:gridSpan w:val="16"/>
          </w:tcPr>
          <w:p>
            <w:pPr>
              <w:spacing w:after="0"/>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Second Amended and Restated Code of Business Conduct and Ethics of the Registrant (incorporated herein by</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7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9080" w:type="dxa"/>
            <w:vAlign w:val="bottom"/>
            <w:gridSpan w:val="17"/>
          </w:tcPr>
          <w:p>
            <w:pPr>
              <w:ind w:left="36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197">
              <w:r>
                <w:rPr>
                  <w:rFonts w:ascii="Times New Roman" w:cs="Times New Roman" w:eastAsia="Times New Roman" w:hAnsi="Times New Roman"/>
                  <w:sz w:val="18"/>
                  <w:szCs w:val="18"/>
                  <w:color w:val="0000EE"/>
                </w:rPr>
                <w:t>reference to Exhibit 11.1 to the 20-F filed on April 12, 2021 (File No. 001-38587))</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11.2#</w:t>
            </w:r>
          </w:p>
        </w:tc>
        <w:tc>
          <w:tcPr>
            <w:tcW w:w="420" w:type="dxa"/>
            <w:vAlign w:val="bottom"/>
          </w:tcPr>
          <w:p>
            <w:pPr>
              <w:spacing w:after="0"/>
              <w:rPr>
                <w:sz w:val="24"/>
                <w:szCs w:val="24"/>
                <w:color w:val="auto"/>
              </w:rPr>
            </w:pPr>
          </w:p>
        </w:tc>
        <w:tc>
          <w:tcPr>
            <w:tcW w:w="8660" w:type="dxa"/>
            <w:vAlign w:val="bottom"/>
            <w:gridSpan w:val="16"/>
          </w:tcPr>
          <w:p>
            <w:pPr>
              <w:spacing w:after="0"/>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Amended and Restated Statement of Policies Governing Material, Non-Public Information and the Prevention of Insider</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3040" w:type="dxa"/>
            <w:vAlign w:val="bottom"/>
            <w:tcBorders>
              <w:left w:val="single" w:sz="8" w:color="0000EE"/>
            </w:tcBorders>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60" w:type="dxa"/>
            <w:vAlign w:val="bottom"/>
            <w:gridSpan w:val="16"/>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Trading of the Registrant (incorporated herein by reference to Exhibit 11.2 to the 20-F filed on April 3, 2025 (File No.</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300" w:type="dxa"/>
            <w:vAlign w:val="bottom"/>
            <w:gridSpan w:val="2"/>
          </w:tcPr>
          <w:p>
            <w:pPr>
              <w:ind w:left="400"/>
              <w:spacing w:after="0" w:line="196" w:lineRule="exact"/>
              <w:rPr>
                <w:rFonts w:ascii="Times New Roman" w:cs="Times New Roman" w:eastAsia="Times New Roman" w:hAnsi="Times New Roman"/>
                <w:sz w:val="18"/>
                <w:szCs w:val="18"/>
                <w:color w:val="0000EE"/>
                <w:w w:val="97"/>
              </w:rPr>
            </w:pPr>
            <w:hyperlink r:id="rId198">
              <w:r>
                <w:rPr>
                  <w:rFonts w:ascii="Times New Roman" w:cs="Times New Roman" w:eastAsia="Times New Roman" w:hAnsi="Times New Roman"/>
                  <w:sz w:val="18"/>
                  <w:szCs w:val="18"/>
                  <w:color w:val="0000EE"/>
                  <w:w w:val="97"/>
                </w:rPr>
                <w:t>001-38587))</w:t>
              </w:r>
            </w:hyperlink>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9080" w:type="dxa"/>
            <w:vAlign w:val="bottom"/>
            <w:gridSpan w:val="17"/>
          </w:tcPr>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CEO Certification Pursuant to Section 302 of the Sarbanes-Oxley Act of 2002</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0" w:type="dxa"/>
            <w:vAlign w:val="bottom"/>
            <w:gridSpan w:val="5"/>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12.2*</w:t>
            </w:r>
          </w:p>
        </w:tc>
        <w:tc>
          <w:tcPr>
            <w:tcW w:w="9080" w:type="dxa"/>
            <w:vAlign w:val="bottom"/>
            <w:gridSpan w:val="17"/>
          </w:tcPr>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CFO Certification Pursuant to Section 302 of the Sarbanes-Oxley Act of 2002</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0" w:type="dxa"/>
            <w:vAlign w:val="bottom"/>
            <w:gridSpan w:val="5"/>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13.1**</w:t>
            </w:r>
          </w:p>
        </w:tc>
        <w:tc>
          <w:tcPr>
            <w:tcW w:w="9080" w:type="dxa"/>
            <w:vAlign w:val="bottom"/>
            <w:gridSpan w:val="17"/>
          </w:tcPr>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CEO Certification Pursuant to Section 906 of the Sarbanes-Oxley Act of 2002</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0" w:type="dxa"/>
            <w:vAlign w:val="bottom"/>
            <w:gridSpan w:val="5"/>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13.2**</w:t>
            </w:r>
          </w:p>
        </w:tc>
        <w:tc>
          <w:tcPr>
            <w:tcW w:w="9080" w:type="dxa"/>
            <w:vAlign w:val="bottom"/>
            <w:gridSpan w:val="17"/>
          </w:tcPr>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CFO Certification Pursuant to Section 906 of the Sarbanes-Oxley Act of 2002</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0" w:type="dxa"/>
            <w:vAlign w:val="bottom"/>
            <w:gridSpan w:val="5"/>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15.1*</w:t>
            </w:r>
          </w:p>
        </w:tc>
        <w:tc>
          <w:tcPr>
            <w:tcW w:w="9080" w:type="dxa"/>
            <w:vAlign w:val="bottom"/>
            <w:gridSpan w:val="17"/>
          </w:tcPr>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Consent of Ernst &amp; Young Hua Ming LLP</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0" w:type="dxa"/>
            <w:vAlign w:val="bottom"/>
            <w:gridSpan w:val="5"/>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6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15.2*</w:t>
            </w:r>
          </w:p>
        </w:tc>
        <w:tc>
          <w:tcPr>
            <w:tcW w:w="9080" w:type="dxa"/>
            <w:vAlign w:val="bottom"/>
            <w:gridSpan w:val="17"/>
          </w:tcPr>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Consent of Han Kun Law Offices</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260" w:type="dxa"/>
            <w:vAlign w:val="bottom"/>
          </w:tcPr>
          <w:p>
            <w:pPr>
              <w:spacing w:after="0"/>
              <w:rPr>
                <w:sz w:val="17"/>
                <w:szCs w:val="17"/>
                <w:color w:val="auto"/>
              </w:rPr>
            </w:pPr>
          </w:p>
        </w:tc>
        <w:tc>
          <w:tcPr>
            <w:tcW w:w="868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Clawback Policy of the Registrant (incorporated herein by reference to Exhibit 97.1 to the 20-F filed on April 12, 2024</w:t>
              </w:r>
            </w:hyperlink>
          </w:p>
        </w:tc>
      </w:tr>
      <w:tr>
        <w:trPr>
          <w:trHeight w:val="196"/>
        </w:trPr>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(File No. 001-38587))</w:t>
              </w:r>
            </w:hyperlink>
          </w:p>
        </w:tc>
        <w:tc>
          <w:tcPr>
            <w:tcW w:w="7080" w:type="dxa"/>
            <w:vAlign w:val="bottom"/>
          </w:tcPr>
          <w:p>
            <w:pPr>
              <w:spacing w:after="0"/>
              <w:rPr>
                <w:sz w:val="17"/>
                <w:szCs w:val="17"/>
                <w:color w:val="auto"/>
              </w:rPr>
            </w:pPr>
          </w:p>
        </w:tc>
      </w:tr>
      <w:tr>
        <w:trPr>
          <w:trHeight w:val="4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60" w:type="dxa"/>
            <w:vAlign w:val="bottom"/>
          </w:tcPr>
          <w:p>
            <w:pPr>
              <w:spacing w:after="0"/>
              <w:rPr>
                <w:sz w:val="24"/>
                <w:szCs w:val="24"/>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Document—this instance document does not appear in the Interactive Data File because its</w:t>
            </w:r>
          </w:p>
        </w:tc>
      </w:tr>
      <w:tr>
        <w:trPr>
          <w:trHeight w:val="234"/>
        </w:trPr>
        <w:tc>
          <w:tcPr>
            <w:tcW w:w="980" w:type="dxa"/>
            <w:vAlign w:val="bottom"/>
          </w:tcPr>
          <w:p>
            <w:pPr>
              <w:spacing w:after="0"/>
              <w:rPr>
                <w:sz w:val="20"/>
                <w:szCs w:val="20"/>
                <w:color w:val="auto"/>
              </w:rPr>
            </w:pPr>
          </w:p>
        </w:tc>
        <w:tc>
          <w:tcPr>
            <w:tcW w:w="8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Scheme Document</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76835</wp:posOffset>
            </wp:positionV>
            <wp:extent cx="156845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1">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91" w:lineRule="exact"/>
        <w:rPr>
          <w:sz w:val="20"/>
          <w:szCs w:val="20"/>
          <w:color w:val="auto"/>
        </w:rPr>
      </w:pPr>
    </w:p>
    <w:p>
      <w:pPr>
        <w:ind w:left="660" w:hanging="652"/>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Annual Report on Form 20-F.</w:t>
      </w:r>
    </w:p>
    <w:p>
      <w:pPr>
        <w:spacing w:after="0" w:line="27" w:lineRule="exact"/>
        <w:rPr>
          <w:sz w:val="20"/>
          <w:szCs w:val="20"/>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with this Annual Report on Form 20-F.</w:t>
      </w:r>
    </w:p>
    <w:p>
      <w:pPr>
        <w:spacing w:after="0" w:line="9" w:lineRule="exact"/>
        <w:rPr>
          <w:sz w:val="20"/>
          <w:szCs w:val="20"/>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redacted or omitted.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4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7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Aurora Mobile Limited</w:t>
      </w:r>
    </w:p>
    <w:p>
      <w:pPr>
        <w:spacing w:after="0" w:line="22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By:/s/ Weidong Luo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3280410</wp:posOffset>
            </wp:positionH>
            <wp:positionV relativeFrom="paragraph">
              <wp:posOffset>17145</wp:posOffset>
            </wp:positionV>
            <wp:extent cx="30175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3">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Name:Weidong Luo</w:t>
      </w:r>
    </w:p>
    <w:p>
      <w:pPr>
        <w:spacing w:after="0" w:line="2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Title: Chairman of the Board of Directors and Chief Executive</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07"/>
        </w:trPr>
        <w:tc>
          <w:tcPr>
            <w:tcW w:w="90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80" w:type="dxa"/>
            <w:vAlign w:val="bottom"/>
          </w:tcPr>
          <w:p>
            <w:pPr>
              <w:spacing w:after="0"/>
              <w:rPr>
                <w:sz w:val="17"/>
                <w:szCs w:val="17"/>
                <w:color w:val="auto"/>
              </w:rPr>
            </w:pPr>
          </w:p>
        </w:tc>
      </w:tr>
      <w:tr>
        <w:trPr>
          <w:trHeight w:val="777"/>
        </w:trPr>
        <w:tc>
          <w:tcPr>
            <w:tcW w:w="1280" w:type="dxa"/>
            <w:vAlign w:val="bottom"/>
            <w:tcBorders>
              <w:top w:val="single" w:sz="8" w:color="0000EE"/>
            </w:tcBorders>
          </w:tcPr>
          <w:p>
            <w:pPr>
              <w:spacing w:after="0"/>
              <w:rPr>
                <w:sz w:val="24"/>
                <w:szCs w:val="24"/>
                <w:color w:val="auto"/>
              </w:rPr>
            </w:pPr>
          </w:p>
        </w:tc>
        <w:tc>
          <w:tcPr>
            <w:tcW w:w="7760" w:type="dxa"/>
            <w:vAlign w:val="bottom"/>
            <w:gridSpan w:val="7"/>
          </w:tcPr>
          <w:p>
            <w:pPr>
              <w:ind w:left="13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680" w:type="dxa"/>
            <w:vAlign w:val="bottom"/>
          </w:tcPr>
          <w:p>
            <w:pPr>
              <w:spacing w:after="0"/>
              <w:rPr>
                <w:sz w:val="24"/>
                <w:szCs w:val="24"/>
                <w:color w:val="auto"/>
              </w:rPr>
            </w:pPr>
          </w:p>
        </w:tc>
      </w:tr>
      <w:tr>
        <w:trPr>
          <w:trHeight w:val="427"/>
        </w:trPr>
        <w:tc>
          <w:tcPr>
            <w:tcW w:w="12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Page (s)</w:t>
            </w:r>
          </w:p>
        </w:tc>
      </w:tr>
      <w:tr>
        <w:trPr>
          <w:trHeight w:val="194"/>
        </w:trPr>
        <w:tc>
          <w:tcPr>
            <w:tcW w:w="904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number: 1408)</w:t>
            </w:r>
          </w:p>
        </w:tc>
        <w:tc>
          <w:tcPr>
            <w:tcW w:w="680" w:type="dxa"/>
            <w:vAlign w:val="bottom"/>
          </w:tcPr>
          <w:p>
            <w:pPr>
              <w:jc w:val="center"/>
              <w:ind w:left="10"/>
              <w:spacing w:after="0" w:line="194" w:lineRule="exact"/>
              <w:rPr>
                <w:sz w:val="20"/>
                <w:szCs w:val="20"/>
                <w:color w:val="auto"/>
              </w:rPr>
            </w:pPr>
            <w:r>
              <w:rPr>
                <w:rFonts w:ascii="Times New Roman" w:cs="Times New Roman" w:eastAsia="Times New Roman" w:hAnsi="Times New Roman"/>
                <w:sz w:val="18"/>
                <w:szCs w:val="18"/>
                <w:color w:val="auto"/>
              </w:rPr>
              <w:t>F-2</w:t>
            </w:r>
          </w:p>
        </w:tc>
      </w:tr>
      <w:tr>
        <w:trPr>
          <w:trHeight w:val="20"/>
        </w:trPr>
        <w:tc>
          <w:tcPr>
            <w:tcW w:w="42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 as of December 31, 2024 and 2025</w:t>
            </w:r>
          </w:p>
        </w:tc>
        <w:tc>
          <w:tcPr>
            <w:tcW w:w="4380" w:type="dxa"/>
            <w:vAlign w:val="bottom"/>
            <w:gridSpan w:val="5"/>
          </w:tcPr>
          <w:p>
            <w:pPr>
              <w:spacing w:after="0"/>
              <w:rPr>
                <w:sz w:val="17"/>
                <w:szCs w:val="17"/>
                <w:color w:val="auto"/>
              </w:rPr>
            </w:pPr>
          </w:p>
        </w:tc>
        <w:tc>
          <w:tcPr>
            <w:tcW w:w="68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196"/>
        </w:trPr>
        <w:tc>
          <w:tcPr>
            <w:tcW w:w="90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Comprehensive (Loss)/Income for the Years Ended December 31, 2023, 2024 and 2025</w:t>
            </w:r>
          </w:p>
        </w:tc>
        <w:tc>
          <w:tcPr>
            <w:tcW w:w="68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196"/>
        </w:trPr>
        <w:tc>
          <w:tcPr>
            <w:tcW w:w="834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Shareholders’ Equity for the Years Ended December 31, 2023, 2024 and 2025</w:t>
            </w:r>
          </w:p>
        </w:tc>
        <w:tc>
          <w:tcPr>
            <w:tcW w:w="700" w:type="dxa"/>
            <w:vAlign w:val="bottom"/>
          </w:tcPr>
          <w:p>
            <w:pPr>
              <w:spacing w:after="0"/>
              <w:rPr>
                <w:sz w:val="17"/>
                <w:szCs w:val="17"/>
                <w:color w:val="auto"/>
              </w:rPr>
            </w:pPr>
          </w:p>
        </w:tc>
        <w:tc>
          <w:tcPr>
            <w:tcW w:w="68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196"/>
        </w:trPr>
        <w:tc>
          <w:tcPr>
            <w:tcW w:w="764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2024 and 2025</w:t>
            </w:r>
          </w:p>
        </w:tc>
        <w:tc>
          <w:tcPr>
            <w:tcW w:w="1400" w:type="dxa"/>
            <w:vAlign w:val="bottom"/>
            <w:gridSpan w:val="2"/>
          </w:tcPr>
          <w:p>
            <w:pPr>
              <w:spacing w:after="0"/>
              <w:rPr>
                <w:sz w:val="17"/>
                <w:szCs w:val="17"/>
                <w:color w:val="auto"/>
              </w:rPr>
            </w:pPr>
          </w:p>
        </w:tc>
        <w:tc>
          <w:tcPr>
            <w:tcW w:w="68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F-10</w:t>
            </w:r>
          </w:p>
        </w:tc>
      </w:tr>
      <w:tr>
        <w:trPr>
          <w:trHeight w:val="20"/>
        </w:trPr>
        <w:tc>
          <w:tcPr>
            <w:tcW w:w="6960" w:type="dxa"/>
            <w:vAlign w:val="bottom"/>
            <w:gridSpan w:val="4"/>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75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the Consolidated Financial Statements for the Years Ended December 31, 2023, 2024 and 2025</w:t>
            </w:r>
          </w:p>
        </w:tc>
        <w:tc>
          <w:tcPr>
            <w:tcW w:w="1520" w:type="dxa"/>
            <w:vAlign w:val="bottom"/>
            <w:gridSpan w:val="3"/>
          </w:tcPr>
          <w:p>
            <w:pPr>
              <w:spacing w:after="0"/>
              <w:rPr>
                <w:sz w:val="17"/>
                <w:szCs w:val="17"/>
                <w:color w:val="auto"/>
              </w:rPr>
            </w:pPr>
          </w:p>
        </w:tc>
        <w:tc>
          <w:tcPr>
            <w:tcW w:w="68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F-12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20"/>
          </w:cols>
          <w:pgMar w:left="980" w:top="500" w:right="11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Aurora Mobile Limited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Aurora Mobile Limited (the Company) as of December 31, 2025 and 2024, the related consolidated statements of comprehensive (loss)/income, shareholders’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Impairment assessment of equity investments accounted for using the measurement alternative</w:t>
      </w:r>
    </w:p>
    <w:p>
      <w:pPr>
        <w:spacing w:after="0" w:line="203" w:lineRule="exact"/>
        <w:rPr>
          <w:sz w:val="20"/>
          <w:szCs w:val="20"/>
          <w:color w:val="auto"/>
        </w:rPr>
      </w:pPr>
    </w:p>
    <w:p>
      <w:pPr>
        <w:sectPr>
          <w:pgSz w:w="11900" w:h="16838" w:orient="portrait"/>
          <w:cols w:equalWidth="0" w:num="2">
            <w:col w:w="3340" w:space="60"/>
            <w:col w:w="6520"/>
          </w:cols>
          <w:pgMar w:left="980" w:top="513" w:right="99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As described in Notes 2 and 9 to the consolidated financial statements, as of December 31, 2025, the Company’s equity investments accounted for using the measurement alternative was RMB112,609 thousand (US$16,103 thousand). For the year ended December 31, 2025, the Company did not recognize impairment losses for equity investments accounted for using the measurement alternative. The Company makes a qualitative assessment considering impairment indicators to evaluate whether the equity investments are impaired at each reporting date. Impairment indicators considered include, but are not limited to deterioration in the earnings performance or business prospects of the investee, factors that raise significant concern about the investee’s ability to continue as a going concern, a significant adverse change in the regulatory, economic or technological environment of the investee, and a significant adverse change in the general market condition of either the geographical area or the industry in which the investee operates. If a qualitative assessment indicates that an equity investment is impaired, the Company estimates the equity investment’s fair value and recognizes an impairment loss when the fair value is less than the equity investment’s carrying value.</w:t>
      </w:r>
    </w:p>
    <w:p>
      <w:pPr>
        <w:spacing w:after="0" w:line="200" w:lineRule="exact"/>
        <w:rPr>
          <w:sz w:val="20"/>
          <w:szCs w:val="20"/>
          <w:color w:val="auto"/>
        </w:rPr>
      </w:pPr>
    </w:p>
    <w:p>
      <w:pPr>
        <w:sectPr>
          <w:pgSz w:w="11900" w:h="16838" w:orient="portrait"/>
          <w:cols w:equalWidth="0" w:num="2">
            <w:col w:w="2680" w:space="720"/>
            <w:col w:w="6520"/>
          </w:cols>
          <w:pgMar w:left="980" w:top="513" w:right="999" w:bottom="1440" w:gutter="0" w:footer="0" w:header="0"/>
          <w:type w:val="continuous"/>
        </w:sectPr>
      </w:pPr>
    </w:p>
    <w:p>
      <w:pPr>
        <w:spacing w:after="0" w:line="187" w:lineRule="exact"/>
        <w:rPr>
          <w:sz w:val="20"/>
          <w:szCs w:val="20"/>
          <w:color w:val="auto"/>
        </w:rPr>
      </w:pPr>
    </w:p>
    <w:p>
      <w:pPr>
        <w:jc w:val="both"/>
        <w:ind w:left="3400"/>
        <w:spacing w:after="0" w:line="272" w:lineRule="auto"/>
        <w:rPr>
          <w:sz w:val="20"/>
          <w:szCs w:val="20"/>
          <w:color w:val="auto"/>
        </w:rPr>
      </w:pPr>
      <w:r>
        <w:rPr>
          <w:rFonts w:ascii="Times New Roman" w:cs="Times New Roman" w:eastAsia="Times New Roman" w:hAnsi="Times New Roman"/>
          <w:sz w:val="16"/>
          <w:szCs w:val="16"/>
          <w:color w:val="auto"/>
        </w:rPr>
        <w:t>Auditing the Company’s impairment assessment of the equity investments was complex and highly judgmental due to the significant judgments involved in management’s qualitative assessment of whether indicators of impairment existed and the significant assumptions including the selection of comparable companies and the discount of lack of marketability (“DLOM”) used in determining the fair value of the equity investment.</w:t>
      </w:r>
    </w:p>
    <w:p>
      <w:pPr>
        <w:sectPr>
          <w:pgSz w:w="11900" w:h="16838" w:orient="portrait"/>
          <w:cols w:equalWidth="0" w:num="1">
            <w:col w:w="9920"/>
          </w:cols>
          <w:pgMar w:left="980" w:top="513" w:right="99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To test the Company’s impairment assessment of the equity investments, we performed audit procedures that included, among others, independently evaluating the information available to determine whether management’s impairment assessment is appropriate by considering the financial position and operating results of the investees, as well as other relevant external information.</w:t>
      </w:r>
    </w:p>
    <w:p>
      <w:pPr>
        <w:spacing w:after="0" w:line="169" w:lineRule="exact"/>
        <w:rPr>
          <w:sz w:val="20"/>
          <w:szCs w:val="20"/>
          <w:color w:val="auto"/>
        </w:rPr>
      </w:pPr>
    </w:p>
    <w:p>
      <w:pPr>
        <w:sectPr>
          <w:pgSz w:w="11900" w:h="16838" w:orient="portrait"/>
          <w:cols w:equalWidth="0" w:num="2">
            <w:col w:w="2800" w:space="600"/>
            <w:col w:w="6520"/>
          </w:cols>
          <w:pgMar w:left="980" w:top="513" w:right="999" w:bottom="1440" w:gutter="0" w:footer="0" w:header="0"/>
          <w:type w:val="continuous"/>
        </w:sectPr>
      </w:pPr>
    </w:p>
    <w:p>
      <w:pPr>
        <w:jc w:val="both"/>
        <w:ind w:left="3400"/>
        <w:spacing w:after="0" w:line="275" w:lineRule="auto"/>
        <w:rPr>
          <w:sz w:val="20"/>
          <w:szCs w:val="20"/>
          <w:color w:val="auto"/>
        </w:rPr>
      </w:pPr>
      <w:r>
        <w:rPr>
          <w:rFonts w:ascii="Times New Roman" w:cs="Times New Roman" w:eastAsia="Times New Roman" w:hAnsi="Times New Roman"/>
          <w:sz w:val="16"/>
          <w:szCs w:val="16"/>
          <w:color w:val="auto"/>
        </w:rPr>
        <w:t>For one equity investment, we involved our valuation specialist to evaluate the valuation methodology used by management to determine the fair value of the equity investment and assess the reasonableness of the comparable companies and the DLOM. We also performed sensitivity analyses on the DLOM to evaluate the effect on the fair value of the equity investment.</w:t>
      </w:r>
    </w:p>
    <w:p>
      <w:pPr>
        <w:sectPr>
          <w:pgSz w:w="11900" w:h="16838" w:orient="portrait"/>
          <w:cols w:equalWidth="0" w:num="1">
            <w:col w:w="9920"/>
          </w:cols>
          <w:pgMar w:left="980" w:top="513" w:right="999"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Hua Ming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The People’s Republic of China</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except for number of shares and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9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6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90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3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119,171</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167,955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9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900" w:type="dxa"/>
            <w:vAlign w:val="bottom"/>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w w:val="88"/>
              </w:rPr>
              <w:t>5</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allowances of RMB4,916 and RMB6,495 (US$928) as</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December 31, 2024 and 2025, respectively</w:t>
            </w:r>
          </w:p>
        </w:tc>
        <w:tc>
          <w:tcPr>
            <w:tcW w:w="90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w w:val="88"/>
              </w:rPr>
              <w:t>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50,804</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43,228</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900" w:type="dxa"/>
            <w:vAlign w:val="bottom"/>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w w:val="88"/>
              </w:rPr>
              <w:t>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14,264</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9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184,615</w:t>
            </w: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231,963</w:t>
            </w: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0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w w:val="88"/>
              </w:rPr>
              <w:t>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00" w:type="dxa"/>
            <w:vAlign w:val="bottom"/>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w w:val="88"/>
              </w:rPr>
              <w:t>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17,146</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90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w w:val="88"/>
              </w:rPr>
              <w:t>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13,767</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9,966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900" w:type="dxa"/>
            <w:vAlign w:val="bottom"/>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w w:val="88"/>
              </w:rPr>
              <w:t>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37,785</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90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w w:val="88"/>
              </w:rPr>
              <w:t>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113,506</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112,609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900" w:type="dxa"/>
            <w:vAlign w:val="bottom"/>
            <w:shd w:val="clear" w:color="auto" w:fill="CCEEFF"/>
          </w:tcPr>
          <w:p>
            <w:pPr>
              <w:jc w:val="center"/>
              <w:ind w:left="193"/>
              <w:spacing w:after="0"/>
              <w:rPr>
                <w:sz w:val="20"/>
                <w:szCs w:val="20"/>
                <w:color w:val="auto"/>
              </w:rPr>
            </w:pPr>
            <w:r>
              <w:rPr>
                <w:rFonts w:ascii="Times New Roman" w:cs="Times New Roman" w:eastAsia="Times New Roman" w:hAnsi="Times New Roman"/>
                <w:sz w:val="18"/>
                <w:szCs w:val="18"/>
                <w:color w:val="auto"/>
                <w:w w:val="99"/>
              </w:rPr>
              <w:t>14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9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6,165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9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193,418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184,202</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378,033</w:t>
            </w:r>
          </w:p>
        </w:tc>
        <w:tc>
          <w:tcPr>
            <w:tcW w:w="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416,165</w:t>
            </w:r>
          </w:p>
        </w:tc>
        <w:tc>
          <w:tcPr>
            <w:tcW w:w="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59,511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except for number of shares and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82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Note</w:t>
            </w:r>
          </w:p>
        </w:tc>
        <w:tc>
          <w:tcPr>
            <w:tcW w:w="3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6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820" w:type="dxa"/>
            <w:vAlign w:val="bottom"/>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3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Short-term loan (including short-term loan of the variable interest entity (“VIE”)</w:t>
            </w: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without recourse to the Company of RMB3,000 and nil as of December 31, 2024</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2025, respectively)</w:t>
            </w:r>
          </w:p>
        </w:tc>
        <w:tc>
          <w:tcPr>
            <w:tcW w:w="8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Accounts payable (including accounts payable of the VIE without recourse to the</w:t>
            </w: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of RMB26,479 and RMB32,191 (US$4,603) as of December 31, 2024</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2025, respectively)</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32,691</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39,404</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Deferred revenue and customer deposits (including deferred revenue and customer</w:t>
            </w: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deposits of the VIE without recourse to the Company of RMB129,918 and</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RMB121,627 (US$17,392) as of December 31, 2024 and 2025, respectively)</w:t>
            </w:r>
          </w:p>
        </w:tc>
        <w:tc>
          <w:tcPr>
            <w:tcW w:w="8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147,111</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178,650</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Operating lease liabilities (including operating lease liabilities of the VIE without</w:t>
            </w: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recourse to the Company of RMB2,750 and RMB2,526 (US$361) as of December</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 2024 and 2025, respectively)</w:t>
            </w: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Accrued liabilities and other current liabilities (including accrued liabilities and</w:t>
            </w: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 of the VIE without recourse to the Company of</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RMB68,349 and RMB66,896 (US$9,566) as of December 31, 2024 and 2025,</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8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74,370</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80,939</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820" w:type="dxa"/>
            <w:vAlign w:val="bottom"/>
            <w:tcBorders>
              <w:bottom w:val="single" w:sz="8" w:color="CCEEFF"/>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261,633</w:t>
            </w:r>
          </w:p>
        </w:tc>
        <w:tc>
          <w:tcPr>
            <w:tcW w:w="40" w:type="dxa"/>
            <w:vAlign w:val="bottom"/>
            <w:tcBorders>
              <w:top w:val="single" w:sz="8" w:color="auto"/>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302,975</w:t>
            </w:r>
          </w:p>
        </w:tc>
        <w:tc>
          <w:tcPr>
            <w:tcW w:w="40" w:type="dxa"/>
            <w:vAlign w:val="bottom"/>
            <w:tcBorders>
              <w:top w:val="single" w:sz="8" w:color="auto"/>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43,325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Non-current liabilities:</w:t>
            </w:r>
          </w:p>
        </w:tc>
        <w:tc>
          <w:tcPr>
            <w:tcW w:w="820" w:type="dxa"/>
            <w:vAlign w:val="bottom"/>
            <w:shd w:val="clear" w:color="auto" w:fill="CCEEFF"/>
          </w:tcPr>
          <w:p>
            <w:pPr>
              <w:jc w:val="right"/>
              <w:ind w:right="93"/>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75"/>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Operating lease liabilities (including non-current operating lease liabilities of the</w:t>
            </w: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VIE without recourse to the Company of RMB6,437 and RMB6,117 (US$875) as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December 31, 2024 and 2025, respectively)</w:t>
            </w: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13,376</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11,432</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Deferred tax liabilities (including non-current deferred tax liabilities of the VIE</w:t>
            </w: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without recourse to the Company of RMB3,059 and RMB1,883 (US$269) as of</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 2024 and 2025, respectively)</w:t>
            </w:r>
          </w:p>
        </w:tc>
        <w:tc>
          <w:tcPr>
            <w:tcW w:w="8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non-current liabilities (including other non-current liabilities of the VIE</w:t>
            </w: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without recourse to the Company of RMB567 and RMB450 (US$64) as of</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2024 and 2025, respectively)</w:t>
            </w:r>
          </w:p>
        </w:tc>
        <w:tc>
          <w:tcPr>
            <w:tcW w:w="8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820" w:type="dxa"/>
            <w:vAlign w:val="bottom"/>
            <w:tcBorders>
              <w:top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17,002</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13,765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20" w:type="dxa"/>
            <w:vAlign w:val="bottom"/>
          </w:tcPr>
          <w:p>
            <w:pPr>
              <w:spacing w:after="0"/>
              <w:rPr>
                <w:sz w:val="18"/>
                <w:szCs w:val="18"/>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278,635</w:t>
            </w:r>
          </w:p>
        </w:tc>
        <w:tc>
          <w:tcPr>
            <w:tcW w:w="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316,740</w:t>
            </w:r>
          </w:p>
        </w:tc>
        <w:tc>
          <w:tcPr>
            <w:tcW w:w="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45,293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except for number of shares and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00" w:type="dxa"/>
            <w:vAlign w:val="bottom"/>
          </w:tcPr>
          <w:p>
            <w:pPr>
              <w:spacing w:after="0"/>
              <w:rPr>
                <w:sz w:val="15"/>
                <w:szCs w:val="15"/>
                <w:color w:val="auto"/>
              </w:rPr>
            </w:pPr>
          </w:p>
        </w:tc>
        <w:tc>
          <w:tcPr>
            <w:tcW w:w="78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Note</w:t>
            </w:r>
          </w:p>
        </w:tc>
        <w:tc>
          <w:tcPr>
            <w:tcW w:w="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0" w:type="dxa"/>
            <w:vAlign w:val="bottom"/>
          </w:tcPr>
          <w:p>
            <w:pPr>
              <w:ind w:left="6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78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78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78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8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shares (par value of US$0.0001 per share as of December 31, 2024</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2025; 4,920,000,000 shares authorized as of December 31, 2024 and 2025,</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63,041,500 shares and 62,971,166 shares issued and outstanding as of December</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31, 2024 and 2025, respectively)</w:t>
            </w:r>
          </w:p>
        </w:tc>
        <w:tc>
          <w:tcPr>
            <w:tcW w:w="78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common shares (par value of US$0.0001 per share as of December 31, 2024</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2025; 30,000,000 shares authorized as of December 31, 2024 and 2025,</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17,000,189 shares and 17,000,189 shares issued and outstanding as of December</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 2024 and 2025, respectively)</w:t>
            </w:r>
          </w:p>
        </w:tc>
        <w:tc>
          <w:tcPr>
            <w:tcW w:w="78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Treasury shares (442,915 and 1,415,422 class A common shares as of December 31,</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 and 2025, respectively)</w:t>
            </w:r>
          </w:p>
        </w:tc>
        <w:tc>
          <w:tcPr>
            <w:tcW w:w="8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1,045,221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1,049,029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8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(995,715)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(995,292)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(142,325)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7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20,040</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18,440</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Aurora Mobile Limited’s shareholders’ equity</w:t>
            </w:r>
          </w:p>
        </w:tc>
        <w:tc>
          <w:tcPr>
            <w:tcW w:w="7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67,922</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65,798</w:t>
            </w:r>
          </w:p>
        </w:tc>
        <w:tc>
          <w:tcPr>
            <w:tcW w:w="1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780" w:type="dxa"/>
            <w:vAlign w:val="bottom"/>
            <w:tcBorders>
              <w:bottom w:val="single" w:sz="8" w:color="CCEEFF"/>
            </w:tcBorders>
          </w:tcPr>
          <w:p>
            <w:pPr>
              <w:jc w:val="right"/>
              <w:ind w:right="35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31,476</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33,627</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780" w:type="dxa"/>
            <w:vAlign w:val="bottom"/>
            <w:tcBorders>
              <w:bottom w:val="single" w:sz="8" w:color="CCEEFF"/>
            </w:tcBorders>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99,398</w:t>
            </w: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99,425</w:t>
            </w: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780" w:type="dxa"/>
            <w:vAlign w:val="bottom"/>
          </w:tcPr>
          <w:p>
            <w:pPr>
              <w:jc w:val="right"/>
              <w:ind w:right="353"/>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378,033</w:t>
            </w:r>
          </w:p>
        </w:tc>
        <w:tc>
          <w:tcPr>
            <w:tcW w:w="16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416,165</w:t>
            </w:r>
          </w:p>
        </w:tc>
        <w:tc>
          <w:tcPr>
            <w:tcW w:w="16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59,511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(LOSS)/INCOME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except for number of shares and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54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80" w:type="dxa"/>
            <w:vAlign w:val="bottom"/>
            <w:vMerge w:val="restart"/>
          </w:tcPr>
          <w:p>
            <w:pPr>
              <w:ind w:left="546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Borders>
              <w:bottom w:val="single" w:sz="8" w:color="auto"/>
            </w:tcBorders>
            <w:gridSpan w:val="5"/>
          </w:tcPr>
          <w:p>
            <w:pPr>
              <w:jc w:val="right"/>
              <w:ind w:right="6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5580" w:type="dxa"/>
            <w:vAlign w:val="bottom"/>
            <w:vMerge w:val="continue"/>
          </w:tcPr>
          <w:p>
            <w:pPr>
              <w:spacing w:after="0"/>
              <w:rPr>
                <w:sz w:val="12"/>
                <w:szCs w:val="12"/>
                <w:color w:val="auto"/>
              </w:rPr>
            </w:pPr>
          </w:p>
        </w:tc>
        <w:tc>
          <w:tcPr>
            <w:tcW w:w="580" w:type="dxa"/>
            <w:vAlign w:val="bottom"/>
            <w:gridSpan w:val="2"/>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9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40" w:type="dxa"/>
            <w:vAlign w:val="bottom"/>
          </w:tcPr>
          <w:p>
            <w:pPr>
              <w:spacing w:after="0"/>
              <w:rPr>
                <w:sz w:val="12"/>
                <w:szCs w:val="12"/>
                <w:color w:val="auto"/>
              </w:rPr>
            </w:pPr>
          </w:p>
        </w:tc>
        <w:tc>
          <w:tcPr>
            <w:tcW w:w="98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1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5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19</w:t>
            </w: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290,232</w:t>
            </w:r>
          </w:p>
        </w:tc>
        <w:tc>
          <w:tcPr>
            <w:tcW w:w="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316,170</w:t>
            </w:r>
          </w:p>
        </w:tc>
        <w:tc>
          <w:tcPr>
            <w:tcW w:w="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374,847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53,602</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(90,946)</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(107,136)</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(122,937)</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(17,580)</w:t>
            </w:r>
          </w:p>
        </w:tc>
        <w:tc>
          <w:tcPr>
            <w:tcW w:w="0" w:type="dxa"/>
            <w:vAlign w:val="bottom"/>
          </w:tcPr>
          <w:p>
            <w:pPr>
              <w:spacing w:after="0"/>
              <w:rPr>
                <w:sz w:val="1"/>
                <w:szCs w:val="1"/>
                <w:color w:val="auto"/>
              </w:rPr>
            </w:pPr>
          </w:p>
        </w:tc>
      </w:tr>
      <w:tr>
        <w:trPr>
          <w:trHeight w:val="196"/>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5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199,286</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209,034</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251,910</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36,022</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(121,806)</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(94,816)</w:t>
            </w: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(104,723)</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(14,975)</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(82,705)</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(84,900)</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(101,003)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(14,443)</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(45,653)</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(45,448)</w:t>
            </w: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(48,168)</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(6,888)</w:t>
            </w:r>
          </w:p>
        </w:tc>
        <w:tc>
          <w:tcPr>
            <w:tcW w:w="0" w:type="dxa"/>
            <w:vAlign w:val="bottom"/>
          </w:tcPr>
          <w:p>
            <w:pPr>
              <w:spacing w:after="0"/>
              <w:rPr>
                <w:sz w:val="1"/>
                <w:szCs w:val="1"/>
                <w:color w:val="auto"/>
              </w:rPr>
            </w:pPr>
          </w:p>
        </w:tc>
      </w:tr>
      <w:tr>
        <w:trPr>
          <w:trHeight w:val="196"/>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54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(250,164)</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(225,164)</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(253,894)</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(36,306)</w:t>
            </w:r>
          </w:p>
        </w:tc>
        <w:tc>
          <w:tcPr>
            <w:tcW w:w="0" w:type="dxa"/>
            <w:vAlign w:val="bottom"/>
          </w:tcPr>
          <w:p>
            <w:pPr>
              <w:spacing w:after="0"/>
              <w:rPr>
                <w:sz w:val="1"/>
                <w:szCs w:val="1"/>
                <w:color w:val="auto"/>
              </w:rPr>
            </w:pPr>
          </w:p>
        </w:tc>
      </w:tr>
      <w:tr>
        <w:trPr>
          <w:trHeight w:val="19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operating income</w:t>
            </w:r>
          </w:p>
        </w:tc>
        <w:tc>
          <w:tcPr>
            <w:tcW w:w="54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196"/>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(Loss)/Income from operations</w:t>
            </w:r>
          </w:p>
        </w:tc>
        <w:tc>
          <w:tcPr>
            <w:tcW w:w="5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(40,517)</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(9,901)</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19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exchange (loss)/gain</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2,881</w:t>
            </w:r>
          </w:p>
        </w:tc>
        <w:tc>
          <w:tcPr>
            <w:tcW w:w="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1,298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(808)</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(132)</w:t>
            </w: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Share of loss from equity method investment</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Gains from fair value change</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Other (loss)/income</w:t>
            </w:r>
          </w:p>
        </w:tc>
        <w:tc>
          <w:tcPr>
            <w:tcW w:w="54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20</w:t>
            </w:r>
          </w:p>
        </w:tc>
        <w:tc>
          <w:tcPr>
            <w:tcW w:w="4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(23,991)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196"/>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(Loss)/Income before income taxes</w:t>
            </w:r>
          </w:p>
        </w:tc>
        <w:tc>
          <w:tcPr>
            <w:tcW w:w="5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(64,554)</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(6,659)</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2,647</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0" w:type="dxa"/>
            <w:vAlign w:val="bottom"/>
          </w:tcPr>
          <w:p>
            <w:pPr>
              <w:spacing w:after="0"/>
              <w:rPr>
                <w:sz w:val="1"/>
                <w:szCs w:val="1"/>
                <w:color w:val="auto"/>
              </w:rPr>
            </w:pPr>
          </w:p>
        </w:tc>
      </w:tr>
      <w:tr>
        <w:trPr>
          <w:trHeight w:val="196"/>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tax benefits/ (expenses)</w:t>
            </w:r>
          </w:p>
        </w:tc>
        <w:tc>
          <w:tcPr>
            <w:tcW w:w="540" w:type="dxa"/>
            <w:vAlign w:val="bottom"/>
            <w:tcBorders>
              <w:bottom w:val="single" w:sz="8" w:color="CCEEFF"/>
            </w:tcBorders>
          </w:tcPr>
          <w:p>
            <w:pPr>
              <w:jc w:val="right"/>
              <w:ind w:right="200"/>
              <w:spacing w:after="0"/>
              <w:rPr>
                <w:sz w:val="20"/>
                <w:szCs w:val="20"/>
                <w:color w:val="auto"/>
              </w:rPr>
            </w:pPr>
            <w:r>
              <w:rPr>
                <w:rFonts w:ascii="Times New Roman" w:cs="Times New Roman" w:eastAsia="Times New Roman" w:hAnsi="Times New Roman"/>
                <w:sz w:val="16"/>
                <w:szCs w:val="16"/>
                <w:color w:val="auto"/>
              </w:rPr>
              <w:t>14</w:t>
            </w:r>
          </w:p>
        </w:tc>
        <w:tc>
          <w:tcPr>
            <w:tcW w:w="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96"/>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(loss)/income</w:t>
            </w:r>
          </w:p>
        </w:tc>
        <w:tc>
          <w:tcPr>
            <w:tcW w:w="5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(62,668)</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(6,769)</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2,574</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auto"/>
              </w:rPr>
              <w:t>Less: Net (loss)/income attributable to noncontrolling interests and redeemable</w:t>
            </w:r>
          </w:p>
        </w:tc>
        <w:tc>
          <w:tcPr>
            <w:tcW w:w="5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5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(570)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2,151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199"/>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(loss)/income attributable to Aurora Mobile Limited’s shareholders</w:t>
            </w:r>
          </w:p>
        </w:tc>
        <w:tc>
          <w:tcPr>
            <w:tcW w:w="5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(62,098)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(7,046)</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(loss)/earnings per share for class A and class B common shares:</w:t>
            </w:r>
          </w:p>
        </w:tc>
        <w:tc>
          <w:tcPr>
            <w:tcW w:w="540" w:type="dxa"/>
            <w:vAlign w:val="bottom"/>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17</w:t>
            </w: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8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A and B common shares - basic and diluted</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(0.78)</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(0.09)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187"/>
        </w:trPr>
        <w:tc>
          <w:tcPr>
            <w:tcW w:w="5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Weighted average shares used in computing net (loss)/earnings per share</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5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attributable to common shares:</w:t>
            </w: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A common shares - basic and diluted</w:t>
            </w:r>
          </w:p>
        </w:tc>
        <w:tc>
          <w:tcPr>
            <w:tcW w:w="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62,688,838</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62,802,678</w:t>
            </w: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63,357,628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63,357,628</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Class B common shares - basic and diluted</w:t>
            </w: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17,000,189</w:t>
            </w:r>
          </w:p>
        </w:tc>
        <w:tc>
          <w:tcPr>
            <w:tcW w:w="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17,000,189</w:t>
            </w:r>
          </w:p>
        </w:tc>
        <w:tc>
          <w:tcPr>
            <w:tcW w:w="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17,000,189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17,000,189</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40" w:type="dxa"/>
            <w:vAlign w:val="bottom"/>
          </w:tcPr>
          <w:p>
            <w:pPr>
              <w:spacing w:after="0"/>
              <w:rPr>
                <w:sz w:val="17"/>
                <w:szCs w:val="17"/>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(1,600)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196"/>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net of tax</w:t>
            </w:r>
          </w:p>
        </w:tc>
        <w:tc>
          <w:tcPr>
            <w:tcW w:w="5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comprehensive (loss)/income</w:t>
            </w:r>
          </w:p>
        </w:tc>
        <w:tc>
          <w:tcPr>
            <w:tcW w:w="540" w:type="dxa"/>
            <w:vAlign w:val="bottom"/>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80" w:type="dxa"/>
            <w:vAlign w:val="bottom"/>
            <w:tcBorders>
              <w:bottom w:val="single" w:sz="8" w:color="CCEEFF"/>
            </w:tcBorders>
            <w:vMerge w:val="continue"/>
          </w:tcPr>
          <w:p>
            <w:pPr>
              <w:spacing w:after="0"/>
              <w:rPr>
                <w:sz w:val="15"/>
                <w:szCs w:val="15"/>
                <w:color w:val="auto"/>
              </w:rPr>
            </w:pPr>
          </w:p>
        </w:tc>
        <w:tc>
          <w:tcPr>
            <w:tcW w:w="540" w:type="dxa"/>
            <w:vAlign w:val="bottom"/>
            <w:tcBorders>
              <w:bottom w:val="single" w:sz="8" w:color="CCEEFF"/>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(61,749)</w:t>
            </w:r>
          </w:p>
        </w:tc>
        <w:tc>
          <w:tcPr>
            <w:tcW w:w="4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(5,952)</w:t>
            </w:r>
          </w:p>
        </w:tc>
        <w:tc>
          <w:tcPr>
            <w:tcW w:w="4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169"/>
        </w:trPr>
        <w:tc>
          <w:tcPr>
            <w:tcW w:w="55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Less: Comprehensive (loss)/income attributable to noncontrolling interests and</w:t>
            </w: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(570)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196"/>
        </w:trPr>
        <w:tc>
          <w:tcPr>
            <w:tcW w:w="5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Comprehensive loss attributable to Aurora Mobile Limited’s shareholders</w:t>
            </w:r>
          </w:p>
        </w:tc>
        <w:tc>
          <w:tcPr>
            <w:tcW w:w="54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(61,179)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except for number of shares)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19"/>
          </w:tcPr>
          <w:p>
            <w:pPr>
              <w:ind w:left="140"/>
              <w:spacing w:after="0"/>
              <w:rPr>
                <w:sz w:val="20"/>
                <w:szCs w:val="20"/>
                <w:color w:val="auto"/>
              </w:rPr>
            </w:pPr>
            <w:r>
              <w:rPr>
                <w:rFonts w:ascii="Times New Roman" w:cs="Times New Roman" w:eastAsia="Times New Roman" w:hAnsi="Times New Roman"/>
                <w:sz w:val="14"/>
                <w:szCs w:val="14"/>
                <w:b w:val="1"/>
                <w:bCs w:val="1"/>
                <w:color w:val="auto"/>
              </w:rPr>
              <w:t>Attributable to Aurora Mobile Limited</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6"/>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gridSpan w:val="8"/>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Treasury shares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Borders>
              <w:top w:val="single" w:sz="8" w:color="auto"/>
            </w:tcBorders>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4"/>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0"/>
                <w:szCs w:val="10"/>
                <w:color w:val="auto"/>
              </w:rPr>
            </w:pPr>
          </w:p>
        </w:tc>
        <w:tc>
          <w:tcPr>
            <w:tcW w:w="100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Borders>
              <w:bottom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bottom w:val="single" w:sz="8" w:color="auto"/>
            </w:tcBorders>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940" w:type="dxa"/>
            <w:vAlign w:val="bottom"/>
            <w:gridSpan w:val="4"/>
          </w:tcPr>
          <w:p>
            <w:pPr>
              <w:jc w:val="right"/>
              <w:ind w:right="7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4"/>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RMB</w:t>
            </w:r>
          </w:p>
        </w:tc>
        <w:tc>
          <w:tcPr>
            <w:tcW w:w="820" w:type="dxa"/>
            <w:vAlign w:val="bottom"/>
            <w:gridSpan w:val="4"/>
          </w:tcPr>
          <w:p>
            <w:pPr>
              <w:jc w:val="right"/>
              <w:ind w:right="6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20" w:type="dxa"/>
            <w:vAlign w:val="bottom"/>
            <w:gridSpan w:val="4"/>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4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6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6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2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24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8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 as of December 31,</w:t>
            </w:r>
          </w:p>
        </w:tc>
        <w:tc>
          <w:tcPr>
            <w:tcW w:w="940" w:type="dxa"/>
            <w:vAlign w:val="bottom"/>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79,732,160</w:t>
            </w:r>
          </w:p>
        </w:tc>
        <w:tc>
          <w:tcPr>
            <w:tcW w:w="660" w:type="dxa"/>
            <w:vAlign w:val="bottom"/>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w:t>
            </w:r>
          </w:p>
        </w:tc>
        <w:tc>
          <w:tcPr>
            <w:tcW w:w="8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182,313</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gridSpan w:val="5"/>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(1,689)</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1,037,007</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18,304</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(925,982)</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127,690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40" w:type="dxa"/>
            <w:vAlign w:val="bottom"/>
            <w:gridSpan w:val="4"/>
            <w:vMerge w:val="continue"/>
            <w:shd w:val="clear" w:color="auto" w:fill="CCEEFF"/>
          </w:tcPr>
          <w:p>
            <w:pPr>
              <w:spacing w:after="0"/>
              <w:rPr>
                <w:sz w:val="15"/>
                <w:szCs w:val="15"/>
                <w:color w:val="auto"/>
              </w:rPr>
            </w:pPr>
          </w:p>
        </w:tc>
        <w:tc>
          <w:tcPr>
            <w:tcW w:w="660" w:type="dxa"/>
            <w:vAlign w:val="bottom"/>
            <w:gridSpan w:val="4"/>
            <w:vMerge w:val="continue"/>
            <w:shd w:val="clear" w:color="auto" w:fill="CCEEFF"/>
          </w:tcPr>
          <w:p>
            <w:pPr>
              <w:spacing w:after="0"/>
              <w:rPr>
                <w:sz w:val="15"/>
                <w:szCs w:val="15"/>
                <w:color w:val="auto"/>
              </w:rPr>
            </w:pPr>
          </w:p>
        </w:tc>
        <w:tc>
          <w:tcPr>
            <w:tcW w:w="800" w:type="dxa"/>
            <w:vAlign w:val="bottom"/>
            <w:gridSpan w:val="3"/>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gridSpan w:val="5"/>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8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Cumulative effect of adoption</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(589)</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(589)</w:t>
            </w:r>
          </w:p>
        </w:tc>
        <w:tc>
          <w:tcPr>
            <w:tcW w:w="0" w:type="dxa"/>
            <w:vAlign w:val="bottom"/>
          </w:tcPr>
          <w:p>
            <w:pPr>
              <w:spacing w:after="0"/>
              <w:rPr>
                <w:sz w:val="1"/>
                <w:szCs w:val="1"/>
                <w:color w:val="auto"/>
              </w:rPr>
            </w:pPr>
          </w:p>
        </w:tc>
      </w:tr>
      <w:tr>
        <w:trPr>
          <w:trHeight w:val="171"/>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 ASC 326</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(62,098)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(528)</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(62,626)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Translation adjustments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Exercise and vesting of share-</w:t>
            </w:r>
          </w:p>
        </w:tc>
        <w:tc>
          <w:tcPr>
            <w:tcW w:w="940" w:type="dxa"/>
            <w:vAlign w:val="bottom"/>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806,273</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5"/>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(459,463)</w:t>
            </w:r>
          </w:p>
        </w:tc>
        <w:tc>
          <w:tcPr>
            <w:tcW w:w="6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2,945</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(2,993)</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based awards</w:t>
            </w:r>
          </w:p>
        </w:tc>
        <w:tc>
          <w:tcPr>
            <w:tcW w:w="940" w:type="dxa"/>
            <w:vAlign w:val="bottom"/>
            <w:gridSpan w:val="4"/>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860" w:type="dxa"/>
            <w:vAlign w:val="bottom"/>
            <w:gridSpan w:val="5"/>
            <w:vMerge w:val="continue"/>
            <w:shd w:val="clear" w:color="auto" w:fill="CCEEFF"/>
          </w:tcPr>
          <w:p>
            <w:pPr>
              <w:spacing w:after="0"/>
              <w:rPr>
                <w:sz w:val="14"/>
                <w:szCs w:val="14"/>
                <w:color w:val="auto"/>
              </w:rPr>
            </w:pPr>
          </w:p>
        </w:tc>
        <w:tc>
          <w:tcPr>
            <w:tcW w:w="6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shares</w:t>
            </w:r>
          </w:p>
        </w:tc>
        <w:tc>
          <w:tcPr>
            <w:tcW w:w="94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(1,706,491)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1,706,491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5"/>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(3,709)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Share-based compensation</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11,574</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 13)</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Adjustment of redeemable</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noncontrolling interests to</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171"/>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redemption value</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Reclassification to permanent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restart"/>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restart"/>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30,701</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tcBorders>
              <w:bottom w:val="single" w:sz="8" w:color="auto"/>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tcBorders>
              <w:bottom w:val="single" w:sz="8" w:color="auto"/>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tcBorders>
              <w:bottom w:val="single" w:sz="8" w:color="auto"/>
            </w:tcBorders>
            <w:gridSpan w:val="2"/>
            <w:vMerge w:val="continue"/>
            <w:shd w:val="clear" w:color="auto" w:fill="CCEEFF"/>
          </w:tcPr>
          <w:p>
            <w:pPr>
              <w:spacing w:after="0"/>
              <w:rPr>
                <w:sz w:val="14"/>
                <w:szCs w:val="14"/>
                <w:color w:val="auto"/>
              </w:rPr>
            </w:pPr>
          </w:p>
        </w:tc>
        <w:tc>
          <w:tcPr>
            <w:tcW w:w="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tcBorders>
              <w:bottom w:val="single" w:sz="8" w:color="auto"/>
            </w:tcBorders>
            <w:gridSpan w:val="2"/>
            <w:vMerge w:val="continue"/>
            <w:shd w:val="clear" w:color="auto" w:fill="CCEEFF"/>
          </w:tcPr>
          <w:p>
            <w:pPr>
              <w:spacing w:after="0"/>
              <w:rPr>
                <w:sz w:val="14"/>
                <w:szCs w:val="14"/>
                <w:color w:val="auto"/>
              </w:rPr>
            </w:pPr>
          </w:p>
        </w:tc>
        <w:tc>
          <w:tcPr>
            <w:tcW w:w="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gridSpan w:val="2"/>
            <w:vMerge w:val="continue"/>
            <w:shd w:val="clear" w:color="auto" w:fill="CCEEFF"/>
          </w:tcPr>
          <w:p>
            <w:pPr>
              <w:spacing w:after="0"/>
              <w:rPr>
                <w:sz w:val="14"/>
                <w:szCs w:val="14"/>
                <w:color w:val="auto"/>
              </w:rPr>
            </w:pPr>
          </w:p>
        </w:tc>
        <w:tc>
          <w:tcPr>
            <w:tcW w:w="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gridSpan w:val="2"/>
            <w:vMerge w:val="continue"/>
            <w:shd w:val="clear" w:color="auto" w:fill="CCEEFF"/>
          </w:tcPr>
          <w:p>
            <w:pPr>
              <w:spacing w:after="0"/>
              <w:rPr>
                <w:sz w:val="14"/>
                <w:szCs w:val="14"/>
                <w:color w:val="auto"/>
              </w:rPr>
            </w:pPr>
          </w:p>
        </w:tc>
        <w:tc>
          <w:tcPr>
            <w:tcW w:w="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1840" w:type="dxa"/>
            <w:vAlign w:val="bottom"/>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Balance as of</w:t>
            </w:r>
          </w:p>
        </w:tc>
        <w:tc>
          <w:tcPr>
            <w:tcW w:w="94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78,831,942</w:t>
            </w:r>
          </w:p>
        </w:tc>
        <w:tc>
          <w:tcPr>
            <w:tcW w:w="66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50</w:t>
            </w:r>
          </w:p>
        </w:tc>
        <w:tc>
          <w:tcPr>
            <w:tcW w:w="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1,429,341</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gridSpan w:val="5"/>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(2,453)</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1,045,397</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19,223</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(988,669)</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30,173</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103,721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840" w:type="dxa"/>
            <w:vAlign w:val="bottom"/>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940" w:type="dxa"/>
            <w:vAlign w:val="bottom"/>
            <w:gridSpan w:val="4"/>
            <w:vMerge w:val="continue"/>
          </w:tcPr>
          <w:p>
            <w:pPr>
              <w:spacing w:after="0"/>
              <w:rPr>
                <w:sz w:val="13"/>
                <w:szCs w:val="13"/>
                <w:color w:val="auto"/>
              </w:rPr>
            </w:pPr>
          </w:p>
        </w:tc>
        <w:tc>
          <w:tcPr>
            <w:tcW w:w="660" w:type="dxa"/>
            <w:vAlign w:val="bottom"/>
            <w:gridSpan w:val="4"/>
            <w:vMerge w:val="continue"/>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19"/>
          </w:tcPr>
          <w:p>
            <w:pPr>
              <w:ind w:left="100"/>
              <w:spacing w:after="0"/>
              <w:rPr>
                <w:sz w:val="20"/>
                <w:szCs w:val="20"/>
                <w:color w:val="auto"/>
              </w:rPr>
            </w:pPr>
            <w:r>
              <w:rPr>
                <w:rFonts w:ascii="Times New Roman" w:cs="Times New Roman" w:eastAsia="Times New Roman" w:hAnsi="Times New Roman"/>
                <w:sz w:val="14"/>
                <w:szCs w:val="14"/>
                <w:b w:val="1"/>
                <w:bCs w:val="1"/>
                <w:color w:val="auto"/>
              </w:rPr>
              <w:t>Attributable to Aurora Mobile Limited</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6"/>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gridSpan w:val="8"/>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Treasury shares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Borders>
              <w:top w:val="single" w:sz="8" w:color="auto"/>
            </w:tcBorders>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top w:val="single" w:sz="8" w:color="auto"/>
            </w:tcBorders>
            <w:gridSpan w:val="4"/>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5"/>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0"/>
                <w:szCs w:val="10"/>
                <w:color w:val="auto"/>
              </w:rPr>
            </w:pPr>
          </w:p>
        </w:tc>
        <w:tc>
          <w:tcPr>
            <w:tcW w:w="860" w:type="dxa"/>
            <w:vAlign w:val="bottom"/>
            <w:gridSpan w:val="5"/>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0"/>
                <w:szCs w:val="10"/>
                <w:color w:val="auto"/>
              </w:rPr>
            </w:pPr>
          </w:p>
        </w:tc>
        <w:tc>
          <w:tcPr>
            <w:tcW w:w="100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96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8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40" w:type="dxa"/>
            <w:vAlign w:val="bottom"/>
          </w:tcPr>
          <w:p>
            <w:pPr>
              <w:spacing w:after="0"/>
              <w:rPr>
                <w:sz w:val="12"/>
                <w:szCs w:val="12"/>
                <w:color w:val="auto"/>
              </w:rPr>
            </w:pPr>
          </w:p>
        </w:tc>
        <w:tc>
          <w:tcPr>
            <w:tcW w:w="880" w:type="dxa"/>
            <w:vAlign w:val="bottom"/>
            <w:gridSpan w:val="3"/>
          </w:tcPr>
          <w:p>
            <w:pPr>
              <w:jc w:val="right"/>
              <w:ind w:right="6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continue"/>
          </w:tcPr>
          <w:p>
            <w:pPr>
              <w:spacing w:after="0"/>
              <w:rPr>
                <w:sz w:val="12"/>
                <w:szCs w:val="12"/>
                <w:color w:val="auto"/>
              </w:rPr>
            </w:pPr>
          </w:p>
        </w:tc>
        <w:tc>
          <w:tcPr>
            <w:tcW w:w="600" w:type="dxa"/>
            <w:vAlign w:val="bottom"/>
            <w:gridSpan w:val="3"/>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RMB</w:t>
            </w:r>
          </w:p>
        </w:tc>
        <w:tc>
          <w:tcPr>
            <w:tcW w:w="60" w:type="dxa"/>
            <w:vAlign w:val="bottom"/>
            <w:vMerge w:val="continue"/>
          </w:tcPr>
          <w:p>
            <w:pPr>
              <w:spacing w:after="0"/>
              <w:rPr>
                <w:sz w:val="12"/>
                <w:szCs w:val="12"/>
                <w:color w:val="auto"/>
              </w:rPr>
            </w:pPr>
          </w:p>
        </w:tc>
        <w:tc>
          <w:tcPr>
            <w:tcW w:w="800" w:type="dxa"/>
            <w:vAlign w:val="bottom"/>
            <w:gridSpan w:val="3"/>
          </w:tcPr>
          <w:p>
            <w:pPr>
              <w:jc w:val="right"/>
              <w:ind w:right="6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gridSpan w:val="2"/>
            <w:vMerge w:val="continue"/>
          </w:tcPr>
          <w:p>
            <w:pPr>
              <w:spacing w:after="0"/>
              <w:rPr>
                <w:sz w:val="12"/>
                <w:szCs w:val="12"/>
                <w:color w:val="auto"/>
              </w:rPr>
            </w:pPr>
          </w:p>
        </w:tc>
        <w:tc>
          <w:tcPr>
            <w:tcW w:w="600" w:type="dxa"/>
            <w:vAlign w:val="bottom"/>
            <w:gridSpan w:val="3"/>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RMB</w:t>
            </w:r>
          </w:p>
        </w:tc>
        <w:tc>
          <w:tcPr>
            <w:tcW w:w="60" w:type="dxa"/>
            <w:vAlign w:val="bottom"/>
            <w:gridSpan w:val="2"/>
            <w:vMerge w:val="continue"/>
          </w:tcPr>
          <w:p>
            <w:pPr>
              <w:spacing w:after="0"/>
              <w:rPr>
                <w:sz w:val="12"/>
                <w:szCs w:val="12"/>
                <w:color w:val="auto"/>
              </w:rPr>
            </w:pPr>
          </w:p>
        </w:tc>
        <w:tc>
          <w:tcPr>
            <w:tcW w:w="1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gridSpan w:val="2"/>
            <w:vMerge w:val="continue"/>
          </w:tcPr>
          <w:p>
            <w:pPr>
              <w:spacing w:after="0"/>
              <w:rPr>
                <w:sz w:val="12"/>
                <w:szCs w:val="12"/>
                <w:color w:val="auto"/>
              </w:rPr>
            </w:pPr>
          </w:p>
        </w:tc>
        <w:tc>
          <w:tcPr>
            <w:tcW w:w="1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vMerge w:val="continue"/>
          </w:tcPr>
          <w:p>
            <w:pPr>
              <w:spacing w:after="0"/>
              <w:rPr>
                <w:sz w:val="12"/>
                <w:szCs w:val="12"/>
                <w:color w:val="auto"/>
              </w:rPr>
            </w:pPr>
          </w:p>
        </w:tc>
        <w:tc>
          <w:tcPr>
            <w:tcW w:w="26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gridSpan w:val="2"/>
            <w:vMerge w:val="continue"/>
          </w:tcPr>
          <w:p>
            <w:pPr>
              <w:spacing w:after="0"/>
              <w:rPr>
                <w:sz w:val="12"/>
                <w:szCs w:val="12"/>
                <w:color w:val="auto"/>
              </w:rPr>
            </w:pPr>
          </w:p>
        </w:tc>
        <w:tc>
          <w:tcPr>
            <w:tcW w:w="2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center"/>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gridSpan w:val="2"/>
            <w:vMerge w:val="continue"/>
          </w:tcPr>
          <w:p>
            <w:pPr>
              <w:spacing w:after="0"/>
              <w:rPr>
                <w:sz w:val="12"/>
                <w:szCs w:val="12"/>
                <w:color w:val="auto"/>
              </w:rPr>
            </w:pPr>
          </w:p>
        </w:tc>
        <w:tc>
          <w:tcPr>
            <w:tcW w:w="2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center"/>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8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 as of December 31,</w:t>
            </w:r>
          </w:p>
        </w:tc>
        <w:tc>
          <w:tcPr>
            <w:tcW w:w="8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78,831,942</w:t>
            </w:r>
          </w:p>
        </w:tc>
        <w:tc>
          <w:tcPr>
            <w:tcW w:w="60" w:type="dxa"/>
            <w:vAlign w:val="bottom"/>
            <w:shd w:val="clear" w:color="auto" w:fill="CCEEFF"/>
          </w:tcPr>
          <w:p>
            <w:pPr>
              <w:spacing w:after="0"/>
              <w:rPr>
                <w:sz w:val="10"/>
                <w:szCs w:val="10"/>
                <w:color w:val="auto"/>
              </w:rPr>
            </w:pPr>
          </w:p>
        </w:tc>
        <w:tc>
          <w:tcPr>
            <w:tcW w:w="6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60" w:type="dxa"/>
            <w:vAlign w:val="bottom"/>
            <w:shd w:val="clear" w:color="auto" w:fill="CCEEFF"/>
          </w:tcPr>
          <w:p>
            <w:pPr>
              <w:spacing w:after="0"/>
              <w:rPr>
                <w:sz w:val="10"/>
                <w:szCs w:val="10"/>
                <w:color w:val="auto"/>
              </w:rPr>
            </w:pPr>
          </w:p>
        </w:tc>
        <w:tc>
          <w:tcPr>
            <w:tcW w:w="8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1,429,341</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(2,453)</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1,045,397</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19,223</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(988,669)</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30,173</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103,721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gridSpan w:val="3"/>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gridSpan w:val="4"/>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(7,046)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Acquisition of noncontrolling</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(1,026)</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Translation adjustments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Exercise and vesting of share-</w:t>
            </w:r>
          </w:p>
        </w:tc>
        <w:tc>
          <w:tcPr>
            <w:tcW w:w="8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2,425,294</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(2,201,973)</w:t>
            </w:r>
          </w:p>
        </w:tc>
        <w:tc>
          <w:tcPr>
            <w:tcW w:w="40" w:type="dxa"/>
            <w:vAlign w:val="bottom"/>
            <w:shd w:val="clear" w:color="auto" w:fill="CCEEFF"/>
          </w:tcPr>
          <w:p>
            <w:pPr>
              <w:spacing w:after="0"/>
              <w:rPr>
                <w:sz w:val="10"/>
                <w:szCs w:val="10"/>
                <w:color w:val="auto"/>
              </w:rPr>
            </w:pPr>
          </w:p>
        </w:tc>
        <w:tc>
          <w:tcPr>
            <w:tcW w:w="6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4,189</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(3,375)</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based awards</w:t>
            </w:r>
          </w:p>
        </w:tc>
        <w:tc>
          <w:tcPr>
            <w:tcW w:w="88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820" w:type="dxa"/>
            <w:vAlign w:val="bottom"/>
            <w:gridSpan w:val="4"/>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shares</w:t>
            </w:r>
          </w:p>
        </w:tc>
        <w:tc>
          <w:tcPr>
            <w:tcW w:w="940" w:type="dxa"/>
            <w:vAlign w:val="bottom"/>
            <w:gridSpan w:val="4"/>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(1,215,547)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1,215,547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(3,410)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Share-based compensation</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restart"/>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restart"/>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gridSpan w:val="2"/>
            <w:vMerge w:val="restart"/>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gridSpan w:val="2"/>
            <w:vMerge w:val="restart"/>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4,225</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restart"/>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gridSpan w:val="2"/>
            <w:vMerge w:val="restart"/>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gridSpan w:val="2"/>
            <w:vMerge w:val="restart"/>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 13)</w:t>
            </w:r>
          </w:p>
        </w:tc>
        <w:tc>
          <w:tcPr>
            <w:tcW w:w="1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1840" w:type="dxa"/>
            <w:vAlign w:val="bottom"/>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Balance as of</w:t>
            </w:r>
          </w:p>
        </w:tc>
        <w:tc>
          <w:tcPr>
            <w:tcW w:w="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80,041,689</w:t>
            </w:r>
          </w:p>
        </w:tc>
        <w:tc>
          <w:tcPr>
            <w:tcW w:w="60" w:type="dxa"/>
            <w:vAlign w:val="bottom"/>
          </w:tcPr>
          <w:p>
            <w:pPr>
              <w:spacing w:after="0"/>
              <w:rPr>
                <w:sz w:val="9"/>
                <w:szCs w:val="9"/>
                <w:color w:val="auto"/>
              </w:rPr>
            </w:pPr>
          </w:p>
        </w:tc>
        <w:tc>
          <w:tcPr>
            <w:tcW w:w="6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50</w:t>
            </w:r>
          </w:p>
        </w:tc>
        <w:tc>
          <w:tcPr>
            <w:tcW w:w="60" w:type="dxa"/>
            <w:vAlign w:val="bottom"/>
          </w:tcPr>
          <w:p>
            <w:pPr>
              <w:spacing w:after="0"/>
              <w:rPr>
                <w:sz w:val="9"/>
                <w:szCs w:val="9"/>
                <w:color w:val="auto"/>
              </w:rPr>
            </w:pPr>
          </w:p>
        </w:tc>
        <w:tc>
          <w:tcPr>
            <w:tcW w:w="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442,915</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(1,674)</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1,045,221</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20,040</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(995,715)</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31,476</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99,398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840" w:type="dxa"/>
            <w:vAlign w:val="bottom"/>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88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4"/>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except for number of shares)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8"/>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Attributable to Aurora Mobile Limited</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4"/>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140" w:type="dxa"/>
            <w:vAlign w:val="bottom"/>
          </w:tcPr>
          <w:p>
            <w:pPr>
              <w:spacing w:after="0"/>
              <w:rPr>
                <w:sz w:val="12"/>
                <w:szCs w:val="12"/>
                <w:color w:val="auto"/>
              </w:rPr>
            </w:pPr>
          </w:p>
        </w:tc>
        <w:tc>
          <w:tcPr>
            <w:tcW w:w="1380" w:type="dxa"/>
            <w:vAlign w:val="bottom"/>
            <w:gridSpan w:val="4"/>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Treasury shares</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200" w:type="dxa"/>
            <w:vAlign w:val="bottom"/>
          </w:tcPr>
          <w:p>
            <w:pPr>
              <w:spacing w:after="0"/>
              <w:rPr>
                <w:sz w:val="10"/>
                <w:szCs w:val="10"/>
                <w:color w:val="auto"/>
              </w:rPr>
            </w:pPr>
          </w:p>
        </w:tc>
        <w:tc>
          <w:tcPr>
            <w:tcW w:w="920" w:type="dxa"/>
            <w:vAlign w:val="bottom"/>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0"/>
                <w:szCs w:val="10"/>
                <w:color w:val="auto"/>
              </w:rPr>
            </w:pP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10"/>
                <w:szCs w:val="10"/>
                <w:color w:val="auto"/>
              </w:rPr>
            </w:pP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1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5"/>
                <w:szCs w:val="15"/>
                <w:color w:val="auto"/>
              </w:rPr>
            </w:pPr>
          </w:p>
        </w:tc>
        <w:tc>
          <w:tcPr>
            <w:tcW w:w="9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20" w:type="dxa"/>
            <w:vAlign w:val="bottom"/>
          </w:tcPr>
          <w:p>
            <w:pPr>
              <w:spacing w:after="0"/>
              <w:rPr>
                <w:sz w:val="15"/>
                <w:szCs w:val="15"/>
                <w:color w:val="auto"/>
              </w:rPr>
            </w:pPr>
          </w:p>
        </w:tc>
        <w:tc>
          <w:tcPr>
            <w:tcW w:w="8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900" w:type="dxa"/>
            <w:vAlign w:val="bottom"/>
            <w:gridSpan w:val="2"/>
          </w:tcPr>
          <w:p>
            <w:pPr>
              <w:jc w:val="right"/>
              <w:ind w:right="6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RMB</w:t>
            </w:r>
          </w:p>
        </w:tc>
        <w:tc>
          <w:tcPr>
            <w:tcW w:w="820" w:type="dxa"/>
            <w:vAlign w:val="bottom"/>
            <w:gridSpan w:val="2"/>
          </w:tcPr>
          <w:p>
            <w:pPr>
              <w:jc w:val="right"/>
              <w:ind w:right="5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RMB</w:t>
            </w:r>
          </w:p>
        </w:tc>
        <w:tc>
          <w:tcPr>
            <w:tcW w:w="780" w:type="dxa"/>
            <w:vAlign w:val="bottom"/>
            <w:gridSpan w:val="2"/>
          </w:tcPr>
          <w:p>
            <w:pPr>
              <w:jc w:val="right"/>
              <w:ind w:right="89"/>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RMB</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980" w:type="dxa"/>
            <w:vAlign w:val="bottom"/>
            <w:gridSpan w:val="2"/>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RMB</w:t>
            </w:r>
          </w:p>
        </w:tc>
        <w:tc>
          <w:tcPr>
            <w:tcW w:w="2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20" w:type="dxa"/>
            <w:vAlign w:val="bottom"/>
            <w:gridSpan w:val="2"/>
          </w:tcPr>
          <w:p>
            <w:pPr>
              <w:jc w:val="right"/>
              <w:ind w:right="189"/>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24"/>
        </w:trPr>
        <w:tc>
          <w:tcPr>
            <w:tcW w:w="18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 as of December 31,</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80,041,689</w:t>
            </w:r>
          </w:p>
        </w:tc>
        <w:tc>
          <w:tcPr>
            <w:tcW w:w="6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442,915</w:t>
            </w:r>
          </w:p>
        </w:tc>
        <w:tc>
          <w:tcPr>
            <w:tcW w:w="60" w:type="dxa"/>
            <w:vAlign w:val="bottom"/>
            <w:shd w:val="clear" w:color="auto" w:fill="CCEEFF"/>
          </w:tcPr>
          <w:p>
            <w:pPr>
              <w:spacing w:after="0"/>
              <w:rPr>
                <w:sz w:val="10"/>
                <w:szCs w:val="10"/>
                <w:color w:val="auto"/>
              </w:rPr>
            </w:pPr>
          </w:p>
        </w:tc>
        <w:tc>
          <w:tcPr>
            <w:tcW w:w="6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1,045,221</w:t>
            </w:r>
          </w:p>
        </w:tc>
        <w:tc>
          <w:tcPr>
            <w:tcW w:w="200" w:type="dxa"/>
            <w:vAlign w:val="bottom"/>
            <w:tcBorders>
              <w:right w:val="single" w:sz="8" w:color="CCEEFF"/>
            </w:tcBorders>
            <w:shd w:val="clear" w:color="auto" w:fill="CCEEFF"/>
          </w:tcPr>
          <w:p>
            <w:pPr>
              <w:spacing w:after="0"/>
              <w:rPr>
                <w:sz w:val="10"/>
                <w:szCs w:val="10"/>
                <w:color w:val="auto"/>
              </w:rPr>
            </w:pPr>
          </w:p>
        </w:tc>
        <w:tc>
          <w:tcPr>
            <w:tcW w:w="92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20,040</w:t>
            </w:r>
          </w:p>
        </w:tc>
        <w:tc>
          <w:tcPr>
            <w:tcW w:w="9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(995,715)</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31,476</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99,398</w:t>
            </w:r>
          </w:p>
        </w:tc>
        <w:tc>
          <w:tcPr>
            <w:tcW w:w="0" w:type="dxa"/>
            <w:vAlign w:val="bottom"/>
          </w:tcPr>
          <w:p>
            <w:pPr>
              <w:spacing w:after="0"/>
              <w:rPr>
                <w:sz w:val="1"/>
                <w:szCs w:val="1"/>
                <w:color w:val="auto"/>
              </w:rPr>
            </w:pPr>
          </w:p>
        </w:tc>
      </w:tr>
      <w:tr>
        <w:trPr>
          <w:trHeight w:val="173"/>
        </w:trPr>
        <w:tc>
          <w:tcPr>
            <w:tcW w:w="1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920" w:type="dxa"/>
            <w:vAlign w:val="bottom"/>
            <w:tcBorders>
              <w:right w:val="single" w:sz="8" w:color="CCEEFF"/>
            </w:tcBorders>
            <w:vMerge w:val="continue"/>
            <w:shd w:val="clear" w:color="auto" w:fill="CCEEFF"/>
          </w:tcPr>
          <w:p>
            <w:pPr>
              <w:spacing w:after="0"/>
              <w:rPr>
                <w:sz w:val="15"/>
                <w:szCs w:val="15"/>
                <w:color w:val="auto"/>
              </w:rPr>
            </w:pPr>
          </w:p>
        </w:tc>
        <w:tc>
          <w:tcPr>
            <w:tcW w:w="980" w:type="dxa"/>
            <w:vAlign w:val="bottom"/>
            <w:tcBorders>
              <w:right w:val="single" w:sz="8" w:color="CCEEFF"/>
            </w:tcBorders>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423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2,151</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2,574</w:t>
            </w:r>
          </w:p>
        </w:tc>
        <w:tc>
          <w:tcPr>
            <w:tcW w:w="0" w:type="dxa"/>
            <w:vAlign w:val="bottom"/>
          </w:tcPr>
          <w:p>
            <w:pPr>
              <w:spacing w:after="0"/>
              <w:rPr>
                <w:sz w:val="1"/>
                <w:szCs w:val="1"/>
                <w:color w:val="auto"/>
              </w:rPr>
            </w:pPr>
          </w:p>
        </w:tc>
      </w:tr>
      <w:tr>
        <w:trPr>
          <w:trHeight w:val="148"/>
        </w:trPr>
        <w:tc>
          <w:tcPr>
            <w:tcW w:w="1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Translation adjustments</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(1,600)</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(1,600)</w:t>
            </w:r>
          </w:p>
        </w:tc>
        <w:tc>
          <w:tcPr>
            <w:tcW w:w="0" w:type="dxa"/>
            <w:vAlign w:val="bottom"/>
          </w:tcPr>
          <w:p>
            <w:pPr>
              <w:spacing w:after="0"/>
              <w:rPr>
                <w:sz w:val="1"/>
                <w:szCs w:val="1"/>
                <w:color w:val="auto"/>
              </w:rPr>
            </w:pPr>
          </w:p>
        </w:tc>
      </w:tr>
      <w:tr>
        <w:trPr>
          <w:trHeight w:val="126"/>
        </w:trPr>
        <w:tc>
          <w:tcPr>
            <w:tcW w:w="1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Exercise and vesting of share-</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1,244,306</w:t>
            </w:r>
          </w:p>
        </w:tc>
        <w:tc>
          <w:tcPr>
            <w:tcW w:w="60" w:type="dxa"/>
            <w:vAlign w:val="bottom"/>
          </w:tcPr>
          <w:p>
            <w:pPr>
              <w:spacing w:after="0"/>
              <w:rPr>
                <w:sz w:val="10"/>
                <w:szCs w:val="10"/>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(638,493)</w:t>
            </w:r>
          </w:p>
        </w:tc>
        <w:tc>
          <w:tcPr>
            <w:tcW w:w="6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2,773</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200" w:type="dxa"/>
            <w:vAlign w:val="bottom"/>
          </w:tcPr>
          <w:p>
            <w:pPr>
              <w:spacing w:after="0"/>
              <w:rPr>
                <w:sz w:val="10"/>
                <w:szCs w:val="10"/>
                <w:color w:val="auto"/>
              </w:rPr>
            </w:pPr>
          </w:p>
        </w:tc>
        <w:tc>
          <w:tcPr>
            <w:tcW w:w="9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2,898</w:t>
            </w:r>
          </w:p>
        </w:tc>
        <w:tc>
          <w:tcPr>
            <w:tcW w:w="0" w:type="dxa"/>
            <w:vAlign w:val="bottom"/>
          </w:tcPr>
          <w:p>
            <w:pPr>
              <w:spacing w:after="0"/>
              <w:rPr>
                <w:sz w:val="1"/>
                <w:szCs w:val="1"/>
                <w:color w:val="auto"/>
              </w:rPr>
            </w:pPr>
          </w:p>
        </w:tc>
      </w:tr>
      <w:tr>
        <w:trPr>
          <w:trHeight w:val="171"/>
        </w:trPr>
        <w:tc>
          <w:tcPr>
            <w:tcW w:w="1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based awards</w:t>
            </w: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 issuance upon the at-the-</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9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market equity offering</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program (the “ATM</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296,360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92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Offering”)</w:t>
            </w: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tcBorders>
              <w:right w:val="single" w:sz="8" w:color="CCEEFF"/>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920" w:type="dxa"/>
            <w:vAlign w:val="bottom"/>
            <w:tcBorders>
              <w:right w:val="single" w:sz="8" w:color="CCEEFF"/>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shares</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(1,611,000)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1,611,000</w:t>
            </w:r>
          </w:p>
        </w:tc>
        <w:tc>
          <w:tcPr>
            <w:tcW w:w="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(7,529)</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(7,529)</w:t>
            </w:r>
          </w:p>
        </w:tc>
        <w:tc>
          <w:tcPr>
            <w:tcW w:w="0" w:type="dxa"/>
            <w:vAlign w:val="bottom"/>
          </w:tcPr>
          <w:p>
            <w:pPr>
              <w:spacing w:after="0"/>
              <w:rPr>
                <w:sz w:val="1"/>
                <w:szCs w:val="1"/>
                <w:color w:val="auto"/>
              </w:rPr>
            </w:pPr>
          </w:p>
        </w:tc>
      </w:tr>
      <w:tr>
        <w:trPr>
          <w:trHeight w:val="126"/>
        </w:trPr>
        <w:tc>
          <w:tcPr>
            <w:tcW w:w="1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Share-based compensation</w:t>
            </w: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restart"/>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3,684</w:t>
            </w:r>
          </w:p>
        </w:tc>
        <w:tc>
          <w:tcPr>
            <w:tcW w:w="200" w:type="dxa"/>
            <w:vAlign w:val="bottom"/>
            <w:tcBorders>
              <w:right w:val="single" w:sz="8" w:color="CCEEFF"/>
            </w:tcBorders>
            <w:shd w:val="clear" w:color="auto" w:fill="CCEEFF"/>
          </w:tcPr>
          <w:p>
            <w:pPr>
              <w:spacing w:after="0"/>
              <w:rPr>
                <w:sz w:val="10"/>
                <w:szCs w:val="10"/>
                <w:color w:val="auto"/>
              </w:rPr>
            </w:pPr>
          </w:p>
        </w:tc>
        <w:tc>
          <w:tcPr>
            <w:tcW w:w="92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6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3,684</w:t>
            </w:r>
          </w:p>
        </w:tc>
        <w:tc>
          <w:tcPr>
            <w:tcW w:w="0" w:type="dxa"/>
            <w:vAlign w:val="bottom"/>
          </w:tcPr>
          <w:p>
            <w:pPr>
              <w:spacing w:after="0"/>
              <w:rPr>
                <w:sz w:val="1"/>
                <w:szCs w:val="1"/>
                <w:color w:val="auto"/>
              </w:rPr>
            </w:pPr>
          </w:p>
        </w:tc>
      </w:tr>
      <w:tr>
        <w:trPr>
          <w:trHeight w:val="171"/>
        </w:trPr>
        <w:tc>
          <w:tcPr>
            <w:tcW w:w="1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 13)</w:t>
            </w:r>
          </w:p>
        </w:tc>
        <w:tc>
          <w:tcPr>
            <w:tcW w:w="160" w:type="dxa"/>
            <w:vAlign w:val="bottom"/>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right w:val="single" w:sz="8" w:color="CCEEFF"/>
            </w:tcBorders>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920" w:type="dxa"/>
            <w:vAlign w:val="bottom"/>
            <w:tcBorders>
              <w:bottom w:val="single" w:sz="8" w:color="auto"/>
              <w:right w:val="single" w:sz="8" w:color="CCEEFF"/>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bottom w:val="single" w:sz="8" w:color="auto"/>
              <w:right w:val="single" w:sz="8" w:color="CCEEFF"/>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Balance as of December 31,</w:t>
            </w:r>
          </w:p>
        </w:tc>
        <w:tc>
          <w:tcPr>
            <w:tcW w:w="160" w:type="dxa"/>
            <w:vAlign w:val="bottom"/>
            <w:vMerge w:val="restart"/>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79,971,355</w:t>
            </w:r>
          </w:p>
        </w:tc>
        <w:tc>
          <w:tcPr>
            <w:tcW w:w="60" w:type="dxa"/>
            <w:vAlign w:val="bottom"/>
          </w:tcPr>
          <w:p>
            <w:pPr>
              <w:spacing w:after="0"/>
              <w:rPr>
                <w:sz w:val="9"/>
                <w:szCs w:val="9"/>
                <w:color w:val="auto"/>
              </w:rPr>
            </w:pPr>
          </w:p>
        </w:tc>
        <w:tc>
          <w:tcPr>
            <w:tcW w:w="80" w:type="dxa"/>
            <w:vAlign w:val="bottom"/>
            <w:vMerge w:val="restart"/>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51</w:t>
            </w:r>
          </w:p>
        </w:tc>
        <w:tc>
          <w:tcPr>
            <w:tcW w:w="140" w:type="dxa"/>
            <w:vAlign w:val="bottom"/>
            <w:vMerge w:val="restart"/>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1,415,422</w:t>
            </w:r>
          </w:p>
        </w:tc>
        <w:tc>
          <w:tcPr>
            <w:tcW w:w="60" w:type="dxa"/>
            <w:vAlign w:val="bottom"/>
          </w:tcPr>
          <w:p>
            <w:pPr>
              <w:spacing w:after="0"/>
              <w:rPr>
                <w:sz w:val="9"/>
                <w:szCs w:val="9"/>
                <w:color w:val="auto"/>
              </w:rPr>
            </w:pPr>
          </w:p>
        </w:tc>
        <w:tc>
          <w:tcPr>
            <w:tcW w:w="100" w:type="dxa"/>
            <w:vAlign w:val="bottom"/>
            <w:vMerge w:val="restart"/>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(6,430)</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1,049,029</w:t>
            </w:r>
          </w:p>
        </w:tc>
        <w:tc>
          <w:tcPr>
            <w:tcW w:w="200" w:type="dxa"/>
            <w:vAlign w:val="bottom"/>
          </w:tcPr>
          <w:p>
            <w:pPr>
              <w:spacing w:after="0"/>
              <w:rPr>
                <w:sz w:val="9"/>
                <w:szCs w:val="9"/>
                <w:color w:val="auto"/>
              </w:rPr>
            </w:pPr>
          </w:p>
        </w:tc>
        <w:tc>
          <w:tcPr>
            <w:tcW w:w="9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18,440</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(995,292)</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33,627</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99,425</w:t>
            </w:r>
          </w:p>
        </w:tc>
        <w:tc>
          <w:tcPr>
            <w:tcW w:w="0" w:type="dxa"/>
            <w:vAlign w:val="bottom"/>
          </w:tcPr>
          <w:p>
            <w:pPr>
              <w:spacing w:after="0"/>
              <w:rPr>
                <w:sz w:val="1"/>
                <w:szCs w:val="1"/>
                <w:color w:val="auto"/>
              </w:rPr>
            </w:pPr>
          </w:p>
        </w:tc>
      </w:tr>
      <w:tr>
        <w:trPr>
          <w:trHeight w:val="180"/>
        </w:trPr>
        <w:tc>
          <w:tcPr>
            <w:tcW w:w="1880" w:type="dxa"/>
            <w:vAlign w:val="bottom"/>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vMerge w:val="restart"/>
            <w:shd w:val="clear" w:color="auto" w:fill="CCEEFF"/>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Balance as of December 31,</w:t>
            </w: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188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6"/>
                <w:szCs w:val="6"/>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1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6"/>
                <w:szCs w:val="6"/>
                <w:color w:val="auto"/>
              </w:rPr>
            </w:pPr>
          </w:p>
        </w:tc>
        <w:tc>
          <w:tcPr>
            <w:tcW w:w="5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(919)</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150,009</w:t>
            </w:r>
          </w:p>
        </w:tc>
        <w:tc>
          <w:tcPr>
            <w:tcW w:w="200" w:type="dxa"/>
            <w:vAlign w:val="bottom"/>
            <w:tcBorders>
              <w:right w:val="single" w:sz="8" w:color="CCEEFF"/>
            </w:tcBorders>
            <w:shd w:val="clear" w:color="auto" w:fill="CCEEFF"/>
          </w:tcPr>
          <w:p>
            <w:pPr>
              <w:spacing w:after="0"/>
              <w:rPr>
                <w:sz w:val="6"/>
                <w:szCs w:val="6"/>
                <w:color w:val="auto"/>
              </w:rPr>
            </w:pPr>
          </w:p>
        </w:tc>
        <w:tc>
          <w:tcPr>
            <w:tcW w:w="92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2,637</w:t>
            </w:r>
          </w:p>
        </w:tc>
        <w:tc>
          <w:tcPr>
            <w:tcW w:w="9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(142,325)</w:t>
            </w: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4,809</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14,218</w:t>
            </w:r>
          </w:p>
        </w:tc>
        <w:tc>
          <w:tcPr>
            <w:tcW w:w="0" w:type="dxa"/>
            <w:vAlign w:val="bottom"/>
          </w:tcPr>
          <w:p>
            <w:pPr>
              <w:spacing w:after="0"/>
              <w:rPr>
                <w:sz w:val="1"/>
                <w:szCs w:val="1"/>
                <w:color w:val="auto"/>
              </w:rPr>
            </w:pPr>
          </w:p>
        </w:tc>
      </w:tr>
      <w:tr>
        <w:trPr>
          <w:trHeight w:val="160"/>
        </w:trPr>
        <w:tc>
          <w:tcPr>
            <w:tcW w:w="1880" w:type="dxa"/>
            <w:vAlign w:val="bottom"/>
            <w:shd w:val="clear" w:color="auto" w:fill="CCEEFF"/>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2025 in US$</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40" w:type="dxa"/>
            <w:vAlign w:val="bottom"/>
            <w:tcBorders>
              <w:right w:val="single" w:sz="8" w:color="CCEEFF"/>
            </w:tcBorders>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920" w:type="dxa"/>
            <w:vAlign w:val="bottom"/>
            <w:tcBorders>
              <w:right w:val="single" w:sz="8" w:color="CCEEFF"/>
            </w:tcBorders>
            <w:vMerge w:val="continue"/>
            <w:shd w:val="clear" w:color="auto" w:fill="CCEEFF"/>
          </w:tcPr>
          <w:p>
            <w:pPr>
              <w:spacing w:after="0"/>
              <w:rPr>
                <w:sz w:val="13"/>
                <w:szCs w:val="13"/>
                <w:color w:val="auto"/>
              </w:rPr>
            </w:pPr>
          </w:p>
        </w:tc>
        <w:tc>
          <w:tcPr>
            <w:tcW w:w="980" w:type="dxa"/>
            <w:vAlign w:val="bottom"/>
            <w:tcBorders>
              <w:right w:val="single" w:sz="8" w:color="CCEEFF"/>
            </w:tcBorders>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740" w:type="dxa"/>
            <w:vAlign w:val="bottom"/>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940" w:type="dxa"/>
            <w:vAlign w:val="bottom"/>
            <w:gridSpan w:val="2"/>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10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20" w:type="dxa"/>
            <w:vAlign w:val="bottom"/>
          </w:tcPr>
          <w:p>
            <w:pPr>
              <w:ind w:left="62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40" w:type="dxa"/>
            <w:vAlign w:val="bottom"/>
            <w:tcBorders>
              <w:top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(loss)/income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(62,668)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(loss)/income to net cash used in operating activities:</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6,223</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expense to reduce right-of-use assets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8,029</w:t>
            </w:r>
          </w:p>
        </w:tc>
        <w:tc>
          <w:tcPr>
            <w:tcW w:w="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(benefits)/expenses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losses for accounts receivable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 of loss from equity method investment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Disposal loss of long-term investment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of long-term investments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losses for loans receivable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(gain) on disposal of property and equipment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fair value change from short-term investment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11,574</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and notes receivable</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(17,821)</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6,076</w:t>
            </w:r>
          </w:p>
        </w:tc>
        <w:tc>
          <w:tcPr>
            <w:tcW w:w="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11,618</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 and customer deposits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 payable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in)/provided by operating activities</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64,885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740" w:type="dxa"/>
            <w:vAlign w:val="bottom"/>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940" w:type="dxa"/>
            <w:vAlign w:val="bottom"/>
            <w:gridSpan w:val="2"/>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06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3840" w:type="dxa"/>
            <w:vAlign w:val="bottom"/>
          </w:tcPr>
          <w:p>
            <w:pPr>
              <w:ind w:left="37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Borders>
              <w:top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(197,000)</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197,000</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for acquisitions, net of cash acquired</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disposal of long-term investments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in loans granted to investees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16,371</w:t>
            </w:r>
          </w:p>
        </w:tc>
        <w:tc>
          <w:tcPr>
            <w:tcW w:w="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25,126</w:t>
            </w: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18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3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short-term bank loans</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short-term bank loans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ATM offering</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Prepayment for stock issuance cost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(8,651)</w:t>
            </w: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8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3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Effect of exchange rate on cash and cash equivalents and restricted cash</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179</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c>
          <w:tcPr>
            <w:tcW w:w="1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(589)</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(decrease)/increase in cash and cash equivalents and restricted cash</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8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48,792</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3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(decrease)/increase in cash and cash equivalents and restricted cash</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(1,253)</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4,540</w:t>
            </w:r>
          </w:p>
        </w:tc>
        <w:tc>
          <w:tcPr>
            <w:tcW w:w="1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48,792</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year</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116,260</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115,007</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119,547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year</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115,007</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119,547</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168,339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Including:</w:t>
            </w: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2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 at the end of the year</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114,521</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119,171</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167,955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Restricted cash at the end of the year</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paid (i)</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paid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long-term investments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Unpaid offering expenses</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cash for repurchase of common shares</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38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right="40" w:firstLine="8"/>
        <w:spacing w:after="0" w:line="282" w:lineRule="auto"/>
        <w:tabs>
          <w:tab w:leader="none" w:pos="32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2025, income taxes paid amounted to RMB 269 (US$38) in Chinese mainland, and RMB 4 (US$1) in jurisdictions outside Chinese mainland.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w:t>
      </w:r>
    </w:p>
    <w:p>
      <w:pPr>
        <w:spacing w:after="0" w:line="225" w:lineRule="exact"/>
        <w:rPr>
          <w:sz w:val="20"/>
          <w:szCs w:val="20"/>
          <w:color w:val="auto"/>
        </w:rPr>
      </w:pPr>
    </w:p>
    <w:p>
      <w:pPr>
        <w:ind w:left="340" w:hanging="332"/>
        <w:spacing w:after="0"/>
        <w:tabs>
          <w:tab w:leader="none" w:pos="3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Aurora Mobile Limited (the “Company” and where appropriate, the term “Company” also refers to its subsidiaries, the variable interest entity (“VIE”), and subsidiaries of the VIE) is a limited company incorporated in the Cayman Islands under the laws of the Cayman Islands on April 9, 2014. The Company through its subsidiaries, the VIE, and subsidiaries of the VIE are principally engaged in providing Software-as-a-Service (“SAAS”) Businesses, which include developer services, financial risk management, and market intelligence services, in the People’s Republic of China (the “PRC”).</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PRC laws and regulations prohibit and restrict foreign ownership of internet value-added businesses, the Company operates its business, primarily through the VIE. The Company, through JPush Information Consulting (Shenzhen) Co., Ltd. (“Shenzhen JPush” or “WFOE”) entered into shareholder voting proxy agreement and an exclusive option agreement with the nominee shareholders of the VIE, Shenzhen Hexun Huagu Information Technology Co., Ltd. (“Hexun Huagu”), that gave WFOE the power to direct the activities that most significantly affect the economic performance of the VIE and to acquire the equity interests in the VIE when permitted by the PRC laws, respectively. In addition, pursuant to the supplementary agreements, the rights under the aforementioned shareholder voting proxy agreement and the exclusive call option agreements were assigned to the board of directors of the Company (the “Board”) or any officer authorized by the Board, which entitled the Company to receive economic benefits from the VIE that potentially could be significant to the VIE.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Despite the lack of equity ownership, as a result of a series of VIE agreements, the nominee shareholders of the VIE effectively assigned all of their voting rights underlying their equity in the VIE to the Company, which gives the Company the power to direct the activities that most significantly impact the VIE’s economic performance. In addition, through the exclusive business operation agreement, the Company, through its WFOE in the PRC, has the right to receive economic benefits from the VIE that potentially could be significant to the VIE. Lastly, through the financial support agreement, the Company has the obligation to absorb losses of the VIE that could potentially be significant to the VIE. Therefore, the Company is considered the primary beneficiary of the VIE and consolidates the VIE as required by SEC Regulation S-X Rule 3A-02 and Accounting Standards Codification (“ASC”) 810.</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VIE agreements: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Option Agreements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exclusive option agreements entered into between the VIE’s nominee shareholders and the WFOE, the nominee shareholders irrevocably granted the WFOE an option to request the nominee shareholders to transfer or sell any part or all of its equity interests in the VIE, or any or all of the assets of the VIE, to the WFOE, or their designees. The purchase price of the equity interests in the VIE is equal to the minimum price required by PRC law. Without the WFOE’s prior written consent, the VIE and its nominee shareholders cannot amend its articles of association, increase or decrease the registered capital, sell or otherwise dispose of its assets or beneficial interest, create or allow any encumbrance on its assets or other beneficial interests and provide any loans or guarantees. The nominee shareholders cannot request any dividends or other form of assets. If dividends or other form of assets were distributed, the nominee shareholders are required to transfer all received distribution to the WFOE or their designees. These agreements are not terminated until all of the equity interest of the VIE is transferred to the WFOE or the person(s) designated by the WFOE. None of the nominee shareholders have the right to terminate or revoke the agreements under any circumstance unless otherwise regulated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w:t>
      </w:r>
    </w:p>
    <w:p>
      <w:pPr>
        <w:spacing w:after="0" w:line="144" w:lineRule="exact"/>
        <w:rPr>
          <w:sz w:val="20"/>
          <w:szCs w:val="20"/>
          <w:color w:val="auto"/>
        </w:rPr>
      </w:pPr>
    </w:p>
    <w:p>
      <w:pPr>
        <w:ind w:left="340" w:hanging="332"/>
        <w:spacing w:after="0"/>
        <w:tabs>
          <w:tab w:leader="none" w:pos="3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Interest Pledge Agreements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equity interest pledge agreements, each nominee shareholder of the VIE has pledged all of their respective equity interests in the VIE to the WFOE as continuing first priority security interest to guarantee the performance of their and the VIE’s obligations under the shareholder voting proxy agreement, the exclusive option agreements and the exclusive business cooperation agreement. The WFOE is entitled to all dividends during the effective period of the share pledge except as it agrees otherwise in writing. If the VIE or any of the nominee shareholders breach the contractual obligations, the WFOE will be entitled to certain rights regarding the pledged equity interests, including receiving proceeds from the auction or sale of all or part of the pledged equity interests of the VIE in accordance with PRC laws. None of the nominee shareholders shall, without the prior written consent of the WFOE, assign or transfer to any third party, distribute dividends and create or cause any security interest and any liability in whatsoever form to be created on, all or any part of the equity interests it holds in the VIE. This agreement is not terminated until all of the technical support and consulting and service fees have been fully paid under the exclusive business cooperation agreement and all of the VIE’s obligations have been terminated under the other VIE agreements. The Company registered the equity pledges with the relevant office of the administration for industry and commerce in accordance with the PRC Property Rights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Business Cooperation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exclusive business cooperation agreement entered into by the WFOE and the VIE, the WFOE provides exclusive technical support and consulting services in return for an annual service fee based on a certain percentage of the VIE’s audited total operating income, which is adjustable at the sole discretion of the WFOE. Without the WFOE’s consent, the VIE cannot procure services from any third party or enter into similar service arrangements with any other third party, except for those from the WFOE. In addition, the VIE has granted the WFOE an exclusive right to purchase any or all of the business or assets of the consolidated VIE at the lowest price permitted under PRC laws. This agreement is irrevocable or can only be unilaterally revoked/amended by the WFOE.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Support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financial support undertaking letter, the Company is obligated to provide unlimited financial support to the VIE, to the extent permissible under the applicable PRC laws and regulations. The Company will not request repayment of the loans or borrowings if the VIE or its shareholders do not have sufficient funds or are unable to repay.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w:t>
      </w:r>
    </w:p>
    <w:p>
      <w:pPr>
        <w:spacing w:after="0" w:line="144" w:lineRule="exact"/>
        <w:rPr>
          <w:sz w:val="20"/>
          <w:szCs w:val="20"/>
          <w:color w:val="auto"/>
        </w:rPr>
      </w:pPr>
    </w:p>
    <w:p>
      <w:pPr>
        <w:ind w:left="340" w:hanging="332"/>
        <w:spacing w:after="0"/>
        <w:tabs>
          <w:tab w:leader="none" w:pos="3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Voting Proxy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Nominee Shareholders also signed the shareholder voting proxy agreement whereby they granted an irrevocable proxy of the voting rights underlying their respective equity interests in the VIE from the WFOE to the Company, which includes, but are not limited to, all the shareholders’ rights and voting rights empowered to the Nominee Shareholders by the company law and the Company’s Articles of Association.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as a result of the power to direct the activities of the VIE pursuant to the shareholder voting proxy agreement and the obligation to absorb the expected losses of the VIE through the unlimited financial support, the Company is the primary beneficiary of the VIE.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July 26, 2022, Weidong Luo, founder of the Company, and two other individuals held 80%, 10% and 10 % of the equity interests in the VIE, respectively. On July 26, 2022, the nominee shareholders of the VIE, the two other individuals transferred their equity interests in the VIE to Guangyan Chen, a senior manager of Hexun Huagu (the “Transfer of Shares”). After the Transfer of Shares, 80% and 20% of the equity interests of the VIE are held by Weidong Luo and Guangyan Chen, respectively. On July 26, 2022, the registration of this transfer with the local branch of the State Administration of Industry and Commerce (the “SAIC”) was completed.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opinion of the Company’s PRC legal counsel, (i) the ownership structure of the PRC subsidiary and the VIE does not result in any violation of any explicit requirements under any PRC laws and regulations in all material aspects; (ii) each of the contractual arrangements is valid, binding and enforceable in accordance with its terms; and (iii) the execution, delivery and performance of the contractual arrangements do not result in any violation of the provisions of the articles of association and business licenses of the VIE.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uncertainties in the PRC legal system could cause the Company’s current ownership structure to be found in violation of existing and/or future PRC laws or regulations and could limit the Company’s ability to enforce its rights under these contractual arrangements. Furthermore, the nominee shareholders of the VIE may have interests that are different than those of the Company, which could potentially increase the risk that they would seek to act contrary to the terms of the contractual agreements with the VIE.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if the current structure or any of the contractual arrangements is found to be in violation of any existing or future PRC laws or regulations, the Company could be subject to penalties, which could include, but not be limited to, revocation of business and operating licenses, discontinuing or restricting business operations, restricting the Company’s right to collect revenues, temporary or permanent blocking of the Company’s internet platforms, restructuring of the Company’s operations, imposition of additional conditions or requirements with which the Company may not be able to comply, or other regulatory or enforcement actions against the Company that could be harmful to its business. The imposition of any of these or other penalties could have a material adverse effect on the Company’s ability to conduct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w:t>
      </w:r>
    </w:p>
    <w:p>
      <w:pPr>
        <w:spacing w:after="0" w:line="144" w:lineRule="exact"/>
        <w:rPr>
          <w:sz w:val="20"/>
          <w:szCs w:val="20"/>
          <w:color w:val="auto"/>
        </w:rPr>
      </w:pPr>
    </w:p>
    <w:p>
      <w:pPr>
        <w:ind w:left="340" w:hanging="332"/>
        <w:spacing w:after="0"/>
        <w:tabs>
          <w:tab w:leader="none" w:pos="3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set forth the assets and liabilities of the VIE and its subsidiaries included in the Company’s consolidated balance sheets: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80" w:type="dxa"/>
            <w:vAlign w:val="bottom"/>
            <w:vMerge w:val="restart"/>
          </w:tcPr>
          <w:p>
            <w:pPr>
              <w:ind w:left="68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6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vMerge w:val="continue"/>
          </w:tcPr>
          <w:p>
            <w:pPr>
              <w:spacing w:after="0"/>
              <w:rPr>
                <w:sz w:val="12"/>
                <w:szCs w:val="12"/>
                <w:color w:val="auto"/>
              </w:rPr>
            </w:pPr>
          </w:p>
        </w:tc>
        <w:tc>
          <w:tcPr>
            <w:tcW w:w="84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vMerge w:val="continue"/>
          </w:tcPr>
          <w:p>
            <w:pPr>
              <w:spacing w:after="0"/>
              <w:rPr>
                <w:sz w:val="12"/>
                <w:szCs w:val="12"/>
                <w:color w:val="auto"/>
              </w:rPr>
            </w:pPr>
          </w:p>
        </w:tc>
        <w:tc>
          <w:tcPr>
            <w:tcW w:w="800" w:type="dxa"/>
            <w:vAlign w:val="bottom"/>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38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8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84,136</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72,919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11,412</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Amounts due from the Company and its subsidiaries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232,201</w:t>
            </w: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262,240</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377,781</w:t>
            </w:r>
          </w:p>
        </w:tc>
        <w:tc>
          <w:tcPr>
            <w:tcW w:w="2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388,269</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8,879</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13,765</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37,785</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78,985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144,091</w:t>
            </w: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137,846</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521,872</w:t>
            </w: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526,115</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698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Short-term loan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and customer deposits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129,918</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121,627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68,349</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66,896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the Company and its subsidiaries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439,818</w:t>
            </w:r>
          </w:p>
        </w:tc>
        <w:tc>
          <w:tcPr>
            <w:tcW w:w="2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444,273</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670,314</w:t>
            </w: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667,513</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w:t>
            </w:r>
          </w:p>
        </w:tc>
        <w:tc>
          <w:tcPr>
            <w:tcW w:w="2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680,377</w:t>
            </w:r>
          </w:p>
        </w:tc>
        <w:tc>
          <w:tcPr>
            <w:tcW w:w="2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675,963</w:t>
            </w:r>
          </w:p>
        </w:tc>
        <w:tc>
          <w:tcPr>
            <w:tcW w:w="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w:t>
      </w:r>
    </w:p>
    <w:p>
      <w:pPr>
        <w:spacing w:after="0" w:line="144" w:lineRule="exact"/>
        <w:rPr>
          <w:sz w:val="20"/>
          <w:szCs w:val="20"/>
          <w:color w:val="auto"/>
        </w:rPr>
      </w:pPr>
    </w:p>
    <w:p>
      <w:pPr>
        <w:ind w:left="340" w:hanging="332"/>
        <w:spacing w:after="0"/>
        <w:tabs>
          <w:tab w:leader="none" w:pos="34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sets forth the results of operations and cash flows of the VIE and its subsidiaries included in the Company’s consolidated statements of comprehensive (loss)/income and cash flows.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00" w:type="dxa"/>
            <w:vAlign w:val="bottom"/>
          </w:tcPr>
          <w:p>
            <w:pPr>
              <w:ind w:left="6180"/>
              <w:spacing w:after="0"/>
              <w:rPr>
                <w:sz w:val="20"/>
                <w:szCs w:val="20"/>
                <w:color w:val="auto"/>
              </w:rPr>
            </w:pPr>
            <w:r>
              <w:rPr>
                <w:rFonts w:ascii="Times New Roman" w:cs="Times New Roman" w:eastAsia="Times New Roman" w:hAnsi="Times New Roman"/>
                <w:sz w:val="14"/>
                <w:szCs w:val="14"/>
                <w:color w:val="auto"/>
              </w:rPr>
              <w:t>​​​</w:t>
            </w:r>
          </w:p>
        </w:tc>
        <w:tc>
          <w:tcPr>
            <w:tcW w:w="2960" w:type="dxa"/>
            <w:vAlign w:val="bottom"/>
            <w:tcBorders>
              <w:bottom w:val="single" w:sz="8" w:color="auto"/>
            </w:tcBorders>
            <w:gridSpan w:val="8"/>
          </w:tcPr>
          <w:p>
            <w:pPr>
              <w:ind w:left="7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6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6300" w:type="dxa"/>
            <w:vAlign w:val="bottom"/>
          </w:tcPr>
          <w:p>
            <w:pPr>
              <w:ind w:left="6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1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16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6300" w:type="dxa"/>
            <w:vAlign w:val="bottom"/>
          </w:tcPr>
          <w:p>
            <w:pPr>
              <w:ind w:left="6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6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285,304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306,884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349,192</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49,934</w:t>
            </w:r>
          </w:p>
        </w:tc>
        <w:tc>
          <w:tcPr>
            <w:tcW w:w="20" w:type="dxa"/>
            <w:vAlign w:val="bottom"/>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(82,495)</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(93,902)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(105,319)</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(15,060)</w:t>
            </w:r>
          </w:p>
        </w:tc>
        <w:tc>
          <w:tcPr>
            <w:tcW w:w="2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(loss)/income</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(45,313)</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0" w:type="dxa"/>
            <w:vAlign w:val="bottom"/>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55,921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(4,436)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 w:type="dxa"/>
            <w:vAlign w:val="bottom"/>
          </w:tcPr>
          <w:p>
            <w:pPr>
              <w:spacing w:after="0"/>
              <w:rPr>
                <w:sz w:val="18"/>
                <w:szCs w:val="18"/>
                <w:color w:val="auto"/>
              </w:rPr>
            </w:pPr>
          </w:p>
        </w:tc>
      </w:t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in)/provided by financing activities</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(59,900)</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0" w:type="dxa"/>
            <w:vAlign w:val="bottom"/>
          </w:tcPr>
          <w:p>
            <w:pPr>
              <w:spacing w:after="0"/>
              <w:rPr>
                <w:sz w:val="20"/>
                <w:szCs w:val="20"/>
                <w:color w:val="auto"/>
              </w:rPr>
            </w:pPr>
          </w:p>
        </w:tc>
      </w:tr>
    </w:tbl>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were no pledges or collateralization of the VIE’s assets as of December 31, 2024 and 2025. The amount of net liabilities of the VIE was RMB158,505 and RMB149,848 (US$21,427) as of December 31, 2024 and 2025, respectively. Creditors of the VIE have no recourse to the general credit of the primary beneficiary of the VIE, and such amounts have been parenthetically presented on the face of the consolidated balance sheets. The VIE holds certain assets, including data servers and related equipment for use in their operations. The VIE does not own any facilities except for the rental of certain office premises from third parties under operating lease arrangements. The VIE also holds certain value-added technology licenses, registered copyrights, trademarks and registered domain names, including the official website, which are also considered as revenue-producing assets. However, none of such assets was recorded on the Company’s consolidated balance sheets as such assets were all internally developed and expensed as incurred as they did not meet the capitalization criteria. The Company has not provided any financial or other support that it was not previously contractually required to provide to the VIE during the periods presented.</w:t>
      </w:r>
    </w:p>
    <w:p>
      <w:pPr>
        <w:spacing w:after="0" w:line="190" w:lineRule="exact"/>
        <w:rPr>
          <w:sz w:val="20"/>
          <w:szCs w:val="20"/>
          <w:color w:val="auto"/>
        </w:rPr>
      </w:pPr>
    </w:p>
    <w:p>
      <w:pPr>
        <w:ind w:left="340" w:hanging="332"/>
        <w:spacing w:after="0"/>
        <w:tabs>
          <w:tab w:leader="none" w:pos="34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the Company have been prepared in accordance with the generally accepted accounting principles of the United States (“U.S.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its subsidiaries, the VIE, and subsidiaries of the VIE. All significant intercompany transactions and balances have been eliminated upon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w:t>
      </w:r>
    </w:p>
    <w:p>
      <w:pPr>
        <w:spacing w:after="0" w:line="144" w:lineRule="exact"/>
        <w:rPr>
          <w:sz w:val="20"/>
          <w:szCs w:val="20"/>
          <w:color w:val="auto"/>
        </w:rPr>
      </w:pPr>
    </w:p>
    <w:p>
      <w:pPr>
        <w:ind w:left="340" w:hanging="332"/>
        <w:spacing w:after="0"/>
        <w:tabs>
          <w:tab w:leader="none" w:pos="34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Comparative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financial information has been adjusted to conform with the current year’s presentation to facilitate comparison.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U.S. GAAP requires managements to make estimates and judgments that affect the reported amounts of assets and liabilities at the balance sheet date and the reported revenues and expenses during the reported period in the consolidated financial statements and accompanying notes. Management base their estimates and judgments on historical information and on various other assumptions that they believe are reasonable under the circumstances. U.S. GAAP requires management to make estimates and judgments in several areas, including, but not limited to, those related to allowance for credit losses of accounts receivable and loans receivable, useful lives of intangible assets, impairment of goodwill and intangible assets, fair value measurements and impairment of long-term investments, valuation allowance for deferred tax assets, incremental borrowing rates for operating lease liabilities and share-based compensation. These estimates are based on management’s knowledge about current events and expectations about actions that the Company may undertake in the future. Actual results could differ from those estimates.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Convenience translation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Translations of amounts from RMB into US$ for the convenience of the reader have been calculated at the exchange rate of RMB6.9931 per US$1.00 on December 31, 2025, as published on the website of the United States Federal Reserve Board. No representation is made that the RMB amounts could have been, or could be, converted into US$ at such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functional currency of the Company and the Company’s subsidiary outside the PRC are US$. The Company’s PRC subsidiary, the VIE and subsidiaries of the VIE adopted RMB as their functional currencies. The determination of the respective functional currency is based on the criteria stated in ASC 830, </w:t>
      </w:r>
      <w:r>
        <w:rPr>
          <w:rFonts w:ascii="Times New Roman" w:cs="Times New Roman" w:eastAsia="Times New Roman" w:hAnsi="Times New Roman"/>
          <w:sz w:val="18"/>
          <w:szCs w:val="18"/>
          <w:i w:val="1"/>
          <w:iCs w:val="1"/>
          <w:color w:val="auto"/>
        </w:rPr>
        <w:t>Foreign Currency Matters</w:t>
      </w:r>
      <w:r>
        <w:rPr>
          <w:rFonts w:ascii="Times New Roman" w:cs="Times New Roman" w:eastAsia="Times New Roman" w:hAnsi="Times New Roman"/>
          <w:sz w:val="18"/>
          <w:szCs w:val="18"/>
          <w:color w:val="auto"/>
        </w:rPr>
        <w:t>. The Company uses RMB as its reporting currency. The consolidated financial statements of the Company are translated into RMB using the exchange rate as of the balance sheet date for assets and liabilities and average exchange rate for the year for income and expense items. Translation gains and losses are recorded in accumulated other comprehensive income, as a component of shareholders’ equity.</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Transactions in currencies other than the functional currency are remeasured and recorded in the functional currency at the exchange rate prevailing on the transaction date.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Monetary assets and liabilities denominated in currencies other than the functional currency are remeasured into the functional currency at the rates of exchange prevailing at the balance sheet dates. Transaction gains and losses are recognized in the consolidated statements of comprehensive (loss)/income during the period or year in which they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w:t>
      </w:r>
    </w:p>
    <w:p>
      <w:pPr>
        <w:spacing w:after="0" w:line="144" w:lineRule="exact"/>
        <w:rPr>
          <w:sz w:val="20"/>
          <w:szCs w:val="20"/>
          <w:color w:val="auto"/>
        </w:rPr>
      </w:pPr>
    </w:p>
    <w:p>
      <w:pPr>
        <w:ind w:left="340" w:hanging="332"/>
        <w:spacing w:after="0"/>
        <w:tabs>
          <w:tab w:leader="none" w:pos="34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primarily consist of cash and demand deposits which are highly liquid. The Company considers highly liquid investments that are readily convertible to known amounts of cash and with original maturities from the date of purchase of three months or less to be cash equivalents. All cash and cash equivalents are unrestricted as to withdrawal and use.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balance mainly represents deposits pledged for a bank account.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short-term investments mainly represent equity investments with readily determinable fair value.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2025, the Company purchased a private equity fund product for RMB5,000 (US$715). Unrealized gains from such equity investments totaling RMB90 (US$13) are recorded in “Gains from fair value change” in the consolidated statements of comprehensive (loss)/income.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Accounts receivable are recorded at the realizable value amount, net of allowances for credit loss in accordance with ASC 326 </w:t>
      </w:r>
      <w:r>
        <w:rPr>
          <w:rFonts w:ascii="Times New Roman" w:cs="Times New Roman" w:eastAsia="Times New Roman" w:hAnsi="Times New Roman"/>
          <w:sz w:val="18"/>
          <w:szCs w:val="18"/>
          <w:i w:val="1"/>
          <w:iCs w:val="1"/>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losses </w:t>
      </w:r>
      <w:r>
        <w:rPr>
          <w:rFonts w:ascii="Times New Roman" w:cs="Times New Roman" w:eastAsia="Times New Roman" w:hAnsi="Times New Roman"/>
          <w:sz w:val="18"/>
          <w:szCs w:val="18"/>
          <w:color w:val="auto"/>
        </w:rPr>
        <w:t>(“ASC 326”), and records the allowance for credit losses as an offset to accounts receivable. The estimated credit losses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as “General and administrative” in the consolidated statements of comprehensive (loss)/income. The Company assesses collectability by reviewing accounts receivable on a collective basis where similar characteristics exist and on an individual basis when the Company identifies specific customers with known disputes or collectability issues. In determining the amount of the allowance for credit losses using roll-rate method, the Company considers historical collectability based on past due status, the age of the accounts receivable balances, credit quality of the Company’s customers based on ongoing credit evaluations, current economic conditions, reasonable and supportable forecasts of future economic conditions, and other factors that may affect the Company’s ability to collect from customers.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receivable, net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Loans receivable, net are included in “Other non-current assets” on the consolidated balance sheets are carried at amortized cost. The Company maintains an allowance for credit losses in accordance with ASC 326, and represents the Company’s best estimate of expected credit losses over the remaining contractual life of the loans and are included in “other (loss)/income” in the consolidated statements of comprehensive (loss)/income. Management estimates the allowance for credit losses on loans not sharing similar risk characteristics on an individual basis. The key factors considered when determining the above allowances for credit losses include age of the amounts due, terms of the loans, historical collections and the creditworthiness and financial condition of the borrower. Interest income is recognized on loans receivable using the interest method except for when receivables are determined to be uncollectible, interest income is recognized on a cash basis method. Impaired loans are written off after all collection effort has ceased.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w:t>
      </w:r>
    </w:p>
    <w:p>
      <w:pPr>
        <w:spacing w:after="0" w:line="144" w:lineRule="exact"/>
        <w:rPr>
          <w:sz w:val="20"/>
          <w:szCs w:val="20"/>
          <w:color w:val="auto"/>
        </w:rPr>
      </w:pPr>
    </w:p>
    <w:p>
      <w:pPr>
        <w:ind w:left="340" w:hanging="332"/>
        <w:spacing w:after="0"/>
        <w:tabs>
          <w:tab w:leader="none" w:pos="34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impairment. Depreciation is computed using the straight-line method over the estimated useful lives of the assets or the remaining lease term, whichever is shorter. The estimated useful lives of property and equipment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servers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 years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 years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6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6240" w:type="dxa"/>
            <w:vAlign w:val="bottom"/>
            <w:gridSpan w:val="2"/>
            <w:shd w:val="clear" w:color="auto" w:fill="CCEEFF"/>
          </w:tcPr>
          <w:p>
            <w:pPr>
              <w:ind w:left="1400"/>
              <w:spacing w:after="0" w:line="198" w:lineRule="exact"/>
              <w:rPr>
                <w:sz w:val="20"/>
                <w:szCs w:val="20"/>
                <w:color w:val="auto"/>
              </w:rPr>
            </w:pPr>
            <w:r>
              <w:rPr>
                <w:rFonts w:ascii="Times New Roman" w:cs="Times New Roman" w:eastAsia="Times New Roman" w:hAnsi="Times New Roman"/>
                <w:sz w:val="18"/>
                <w:szCs w:val="18"/>
                <w:color w:val="auto"/>
              </w:rPr>
              <w:t>over the shorter of lease terms or estimated useful lives of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624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assets</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Costs related to construction of property and equipment incurred before the assets are ready for their intended use are capitalized as construction in progress. Construction in progress is transferred to specific property and equipment items and depreciation of these assets commences when they are ready for their intended use. Expenditures for repair and maintenance are expensed as incurred. When assets are retired or otherwise disposed of, the cost and related accumulated depreciation are removed from their respective accounts, and any gain or loss on such sale or disposal is reflected in the consolidated statements of comprehensive (loss)/income.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with finite lives are carried at cost less accumulated amortization. Intangible assets represent computer software, systems and technology, brand and customer relationship acquired in a business combination. The cost of the brand and customer relationship is the fair value at the date of acquisition. All intangible assets with finite lives are amortized using the straight-line method over the estimated economic lives, which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 systems and technology</w:t>
            </w:r>
          </w:p>
        </w:tc>
        <w:tc>
          <w:tcPr>
            <w:tcW w:w="58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 – 5 years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w:t>
            </w:r>
          </w:p>
        </w:tc>
        <w:tc>
          <w:tcPr>
            <w:tcW w:w="58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w:t>
            </w:r>
          </w:p>
        </w:tc>
        <w:tc>
          <w:tcPr>
            <w:tcW w:w="58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432"/>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Residual values are considered nil.</w:t>
            </w: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 other than goodwill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evaluates long-lived assets, such as property and equipment and purchased intangible assets with finite lives, for impairment whenever events or changes in circumstances indicate the carrying value of an asset may not be fully recoverable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When such events occur, the Company assesses the recoverability of the asset group by comparing the carrying amounts of the assets to the undiscounted future cash flow expected to generate from the use of the asset group and recognizes an impairment loss when estimated undiscounted future cash flow and the eventual disposition is less than the carrying value of the asset group. If the Company identifies an impairment, the Company reduces the carrying amount of the asset group to its estimated fair value based on a discounted cash flow approach or, when available and appropriate, to comparable market values. The Company uses estimates and judgments in its impairment tests and if different estimates or judgments had been utilized, the timing or the amount of any impairment charges could be different. For the years ended December 31, 2023, 2024 and 2025, no impairment charge was recognized for long-lived assets.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w:t>
      </w:r>
    </w:p>
    <w:p>
      <w:pPr>
        <w:spacing w:after="0" w:line="144" w:lineRule="exact"/>
        <w:rPr>
          <w:sz w:val="20"/>
          <w:szCs w:val="20"/>
          <w:color w:val="auto"/>
        </w:rPr>
      </w:pPr>
    </w:p>
    <w:p>
      <w:pPr>
        <w:ind w:left="340" w:hanging="332"/>
        <w:spacing w:after="0"/>
        <w:tabs>
          <w:tab w:leader="none" w:pos="34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is initially measured at cost, being the excess of the aggregate of the consideration transferred and the amount recognized for noncontrolling interests over the identifiable assets acquired and liabilities assumed. After initial recognition, goodwill is measured at cost less any accumulated impairment losses. Goodwill, which is non-deductible for tax purposes, is primarily attributable to the synergies expected to be achieved from the acquisition.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assesses goodwill for impairment in accordance with ASC 350-20, </w:t>
      </w:r>
      <w:r>
        <w:rPr>
          <w:rFonts w:ascii="Times New Roman" w:cs="Times New Roman" w:eastAsia="Times New Roman" w:hAnsi="Times New Roman"/>
          <w:sz w:val="18"/>
          <w:szCs w:val="18"/>
          <w:i w:val="1"/>
          <w:iCs w:val="1"/>
          <w:color w:val="auto"/>
        </w:rPr>
        <w:t>Intangibles—Goodwill and Other: Goodwill</w:t>
      </w:r>
      <w:r>
        <w:rPr>
          <w:rFonts w:ascii="Times New Roman" w:cs="Times New Roman" w:eastAsia="Times New Roman" w:hAnsi="Times New Roman"/>
          <w:sz w:val="18"/>
          <w:szCs w:val="18"/>
          <w:color w:val="auto"/>
        </w:rPr>
        <w:t>, (“ASC 350-20”), which requires that goodwill be tested for impairment at the reporting unit level at least annually and more frequently upon the occurrence of certain events.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ASC 350-20-35, the Company has the option to choose whether it will apply the qualitative assessment first and then the quantitative assessment, if necessary, or to apply the quantitative assessment directly. In the qualitative assessment, the Company primarily considers factors such as industry and market considerations, overall financial performance of the reporting unit, and other specific information related to the operations. If the Company believes, as a result of the qualitative assessment, that it is more-likely-than-not that the fair value of the reporting unit is less than its carrying amount, a quantitative impairment test is required. Otherwise, no further testing is required. Therefore, when the Company performs the quantitative impairment test it compares the fair value of the reporting unit with its carrying amount, including goodwill. If the carrying amount of a reporting unit exceeds its fair value, an impairment loss shall be recognized in an amount equal to that excess.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elected to bypass the qualitative assessment and proceeded directly to perform the quantitative test for the years ended December 31, 2023, 2024 and 2025, by quantitatively comparing the fair values of the reporting unit to its carrying amounts. The Company determines the fair value of the reporting unit based on estimated fair value using the income approach, and no impairment charge was recognized for the years ended December 31, 2023, 2024 and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of noncontrolling interests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 noncontrolling interest is recognized to reflect the portion of a subsidiary’s equity which is not attributable, directly or indirectly, to the Company. Consolidated net (loss)/income on the consolidated statements of comprehensive (loss)/income includes the net (loss)/income attributable to noncontrolling interests when applicable. Cash flows related to transactions with noncontrolling interests are presented under financing activities in the consolidated statements of cash flows when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w:t>
      </w:r>
    </w:p>
    <w:p>
      <w:pPr>
        <w:spacing w:after="0" w:line="144" w:lineRule="exact"/>
        <w:rPr>
          <w:sz w:val="20"/>
          <w:szCs w:val="20"/>
          <w:color w:val="auto"/>
        </w:rPr>
      </w:pPr>
    </w:p>
    <w:p>
      <w:pPr>
        <w:ind w:left="340" w:hanging="332"/>
        <w:spacing w:after="0"/>
        <w:tabs>
          <w:tab w:leader="none" w:pos="34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investments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long-term investments consist of equity method investments and equity investments without readily determinable fair value.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investments without readily determinable fair value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accounts for investments in an investee over which the Company does not have significant influence and which do not have readily determinable fair value using the measurement alternative, which is defined as cost, less impairments, plus or minus changes resulting from observable price changes in orderly transactions for identical or similar investments of the same issuer, if any. The Company makes a qualitative assessment considering impairment indicators to evaluate whether an investment is impaired at each reporting date. Impairment indicators considered include, but are not limited to, a significant deterioration in the earnings performance or business prospects of the investee, including factors that raise significant concern about the investee’s ability to continue as a going concern, a significant adverse change in the regulatory, economic or technological environment of the investee, and a significant adverse change in the general market condition of the industry in which the investee operates. If a qualitative assessment indicates that the investment is impaired, the Company estimates the investment’s fair value in accordance with the principles of ASC 820. If the fair value is less than the investment’s carrying value, the Company has to recognize an impairment loss equal to the difference between the carrying value and fair value. As of December 31, 2025, the Company determines the fair value of certain investee by using the market approach with the assistance of an independent third-party valuation firm. The significant assumptions used included the selection of comparable companies and the discount for lack of marketability.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method investments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investments in an investee over which the Company can exercise significant influence but does not own a majority equity interest or control using the equity method in accordance with ASC 323, </w:t>
      </w:r>
      <w:r>
        <w:rPr>
          <w:rFonts w:ascii="Times New Roman" w:cs="Times New Roman" w:eastAsia="Times New Roman" w:hAnsi="Times New Roman"/>
          <w:sz w:val="18"/>
          <w:szCs w:val="18"/>
          <w:i w:val="1"/>
          <w:iCs w:val="1"/>
          <w:color w:val="auto"/>
        </w:rPr>
        <w:t>Investments-Equity Method and Joint Ventures</w:t>
      </w:r>
      <w:r>
        <w:rPr>
          <w:rFonts w:ascii="Times New Roman" w:cs="Times New Roman" w:eastAsia="Times New Roman" w:hAnsi="Times New Roman"/>
          <w:sz w:val="18"/>
          <w:szCs w:val="18"/>
          <w:color w:val="auto"/>
        </w:rPr>
        <w:t xml:space="preserve"> (“ASC 323”). Under the equity method, the Company initially records its investment at cost and the difference between the cost of the equity investee and the amount of the underlying equity in the net assets of the equity investee is accounted for as if the investee were a consolidated subsidiary. The Company subsequently adjusts the carrying amount of the investments to recognize the Company’s proportionate share of each equity investee’s net income or loss into earnings after the date of investment. The Company will discontinue applying the equity method if an investment has been reduced to zero and has not guaranteed obligations of the investee or committed to provide further financial support to the investee. The Company evaluates the equity method investments for impairment at each report date, or more frequently if events or changes in circumstances indicate that the carrying amount of the investment might not be recoverable. An impairment loss is recognized in earnings when the decline in value of the investment is determined to be other-than-temporary.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except for number of shares)</w:t>
      </w:r>
    </w:p>
    <w:p>
      <w:pPr>
        <w:spacing w:after="0" w:line="225" w:lineRule="exact"/>
        <w:rPr>
          <w:sz w:val="20"/>
          <w:szCs w:val="20"/>
          <w:color w:val="auto"/>
        </w:rPr>
      </w:pPr>
    </w:p>
    <w:p>
      <w:pPr>
        <w:ind w:left="340" w:hanging="332"/>
        <w:spacing w:after="0"/>
        <w:tabs>
          <w:tab w:leader="none" w:pos="34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 added taxes (“VAT”)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presents VAT assessed by government authorities as reductions of revenues. Pursuant to the PRC tax legislation, VAT is generally imposed in lieu of business tax in the modern service industries, on a nationwide basis. The Company is allowed to offset the qualified input VAT paid on taxable purchases against the output VAT chargeable on the modern services provided and goods sold.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shares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Treasury shares represent shares repurchased by the Company that are no longer outstanding and are held by the Company. Treasury shares are accounted for under the cost method per ASC 505-30, </w:t>
      </w:r>
      <w:r>
        <w:rPr>
          <w:rFonts w:ascii="Times New Roman" w:cs="Times New Roman" w:eastAsia="Times New Roman" w:hAnsi="Times New Roman"/>
          <w:sz w:val="18"/>
          <w:szCs w:val="18"/>
          <w:i w:val="1"/>
          <w:iCs w:val="1"/>
          <w:color w:val="auto"/>
        </w:rPr>
        <w:t>Treasury Stock</w:t>
      </w:r>
      <w:r>
        <w:rPr>
          <w:rFonts w:ascii="Times New Roman" w:cs="Times New Roman" w:eastAsia="Times New Roman" w:hAnsi="Times New Roman"/>
          <w:sz w:val="18"/>
          <w:szCs w:val="18"/>
          <w:color w:val="auto"/>
        </w:rPr>
        <w:t>. Under this, on September 15, 2022, the Board of Directors of the Company approved a repurchase plan (the “2022 Repurchase Plan”) to repurchase its common shares (including in the form of ADSs) up to an aggregate value of US$5 million from the open market. On November 16, 2023, the Board of Directors of the Company approved a repurchase plan (the “2023 Repurchase Plan”) to repurchase its common shares (including in the form of ADSs) up to an aggregate value of US$5 million from the open market. On December 30, 2024, the Board of Directors of the Company approved a repurchase plan (the “2025 Repurchase Plan”) to repurchase its common shares (including in the form of ADSs) up to an aggregate value of US$5 million from the open market. On November 13, 2025, the Board of Directors of the Company approved a repurchase plan (the “2026 Repurchase Plan”) to repurchase its common shares (including in the form of ADSs) up to an aggregate value of US$10 million from the open market. Every three of ADSs represent forty Class A common shares. During the years ended December 31, 2023, 2024 and 2025, the Company repurchased 127,987, 91,166 and 120,825 ADSs, representing 1,706,493, 1,215,547 and 1,611,000 Class A common shares from the open market with an aggregate purchase price of RMB3,709, RMB3,410 and RMB7,529 (US$1,077)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w:t>
      </w:r>
    </w:p>
    <w:p>
      <w:pPr>
        <w:spacing w:after="0" w:line="144" w:lineRule="exact"/>
        <w:rPr>
          <w:sz w:val="20"/>
          <w:szCs w:val="20"/>
          <w:color w:val="auto"/>
        </w:rPr>
      </w:pPr>
    </w:p>
    <w:p>
      <w:pPr>
        <w:ind w:left="340" w:hanging="332"/>
        <w:spacing w:after="0"/>
        <w:tabs>
          <w:tab w:leader="none" w:pos="3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ASC 606, revenues are recognized when control of the promised goods or services is transferred to customers, in an amount that reflects the consideration the Company expects to be entitled to in exchange for those goods or services. Revenues are presented net of value-added tax collected on behalf of the government.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SAAS Businesses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generates SAAS Businesses revenue primarily from developer services and vertical applications. For developer services, there are three types of contracts, subscription-based contracts, project-based contracts and consumption-based contracts. The Company primarily enters into subscription-based contracts with its customers to provide push notification or instant messaging (collectively “notification services”), which the Company provides its customers with access to its notification services platform. This enables customers to send notifications and messages to users. The nature of the Company’s performance obligation is a single performance obligation with a fixed transaction price based on subscription fees. The Company generally recognizes revenue ratably over time under the subscription-based contracts as stand-ready obligations because the customer simultaneously receives and consumes the benefits as the Company provides subscription services throughout a fixed contract term. The Company uses an output method of progress based on fixed contract term as it best depicts the transfer of control to the customer.</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primarily enters into consumption-based contracts with its customers to provide short message services (“SMS”), one-click verification services, email services and value-added services. For SMS, the Company enables customers to send short messages to users for developer-user communication and authentication. For one-click verification services, the Company enables users to verify the cellphone number of users without verification code after integrating the one-click verification SDK. For email services, the Company enables the customers to send emails to users. Customers pay for SMS, one-click verification, and email services based on the pre-agreed rate per message or email and the number of messages or email delivered. The Company acts as the principal in the SMS, one-click verification, and email services in which the Company has control over the fulfillment of services. The Company recognizes revenue on a gross basis and at the point in time when messages are delivered. For value-added services, the Company provided advertising services by connecting advertisers and application (“APP”) developers, who are the suppliers of where the ads will be displayed. The Company enters into contractual arrangements with advertisers that stipulate the types of advertising to be delivered and priced. Advertising customers pay for the value-added service primarily on several basis, including cost-per-action (“CPA”) basis, cost-per-mille (“CPM”), cost-per-sale (“CPS”) and cost-per-click (“CPC”) basis. All of the contractual arrangements’ duration is less than one year. The Company acts as the principal in the value-added services in which the Company has control over the fulfillment of the service and has discretion in establishing price. Accordingly, the Company recognizes revenue on a gross basis and at a point in time once agreed actions are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w:t>
      </w:r>
    </w:p>
    <w:p>
      <w:pPr>
        <w:spacing w:after="0" w:line="225" w:lineRule="exact"/>
        <w:rPr>
          <w:sz w:val="20"/>
          <w:szCs w:val="20"/>
          <w:color w:val="auto"/>
        </w:rPr>
      </w:pPr>
    </w:p>
    <w:p>
      <w:pPr>
        <w:ind w:left="340" w:hanging="332"/>
        <w:spacing w:after="0"/>
        <w:tabs>
          <w:tab w:leader="none" w:pos="3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SAAS Businesses (continued)</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primarily enters into project-based contracts with its customers to provide private cloud-based developer services, which are designed to provide customizable services to customers who want a more controlled software environment and more comprehensive technology and customer support. The Company provides its customers one combined performance obligation including customized APP push notification system or instant messaging system and related system training services as both performance obligations are incapable of being distinct because the customer cannot derive economic benefit from the related system training services on its own. Meanwhile, the Company also provides post contract assurance-type maintenance services, which usually have a duration of one year. The transaction price is fixed based on the signed contract consideration. Under ASC 606, the Company recognize revenue at the point in time when the system is implemented, and the training service is provided, which is represented by the customer acceptance received by the Company.</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vertical applications, the Company enters into agreements with its customers to provide data analytic solutions and there are three types of contracts, including subscription-based contracts, project-based contracts and consumption-based contracts. The Company primarily enters into subscription-based contracts with its customers to provide customizable service packages for a fixed contract term, which allows the customers to subscribe a fixed number of apps to obtain unlimited volume of queries to the Company’s analytic results. The nature of the Company’s performance obligation is a single performance obligation with a fixed transaction price based on subscription fees. The Company generally recognizes revenue ratably over time under the subscription-based contracts, because the customer simultaneously receives and consumes the benefits as the Company provides subscription services throughout a fixed contract term.</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primarily enters into project-based contracts with its customers to provide in-depth analytics services and generate customized reports based on the customers’ specific requirements. The nature of the Company’s performance obligation is a single performance obligation with a fixed transaction price based on the signed contract consideration. The Company recognizes revenue at the point in time when the customized reports are provided.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primarily enters into consumption-based contracts with its customers to process the queries or provide features based on the customers’ requirements. The nature of the Company’s performance obligation is a single performance obligation, and the transaction price is determined based on the pre-agreed the rate per query and the number of queries delivered. When the Company receives a placed order, it recognizes revenue at a point in time when the queries are processed, or the features are utilized by the customers.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certain arrangements, customers are required to pay the Company before the services are delivered. For other arrangements, the Company provides customers with a credit term under six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w:t>
      </w:r>
    </w:p>
    <w:p>
      <w:pPr>
        <w:spacing w:after="0" w:line="144" w:lineRule="exact"/>
        <w:rPr>
          <w:sz w:val="20"/>
          <w:szCs w:val="20"/>
          <w:color w:val="auto"/>
        </w:rPr>
      </w:pPr>
    </w:p>
    <w:p>
      <w:pPr>
        <w:ind w:left="340" w:hanging="332"/>
        <w:spacing w:after="0"/>
        <w:tabs>
          <w:tab w:leader="none" w:pos="3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 recognition related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customers. Some customers are required to pay before the services are delivered to the customer. When either party to a revenue contract has performed, the Company recognizes a contract asset or a contract liability on the consolidated balance sheet, depending on the relationship between the Company’s performance and the customer’s payment.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represent amounts related to the Company’s rights to consideration received for private-cloud-based service and are included in “Prepayments and other assets” on the consolidated balance sheets. Amount of contract assets was not material as of December 31, 2024 and 2025, respectively.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Contract liabilities are mainly related to fees for services to be provided over the service period, which are included in “Deferred revenue and customer deposits” on the consolidated balance sheets. The increase in contract liabilities is a result of the increase in consideration received from the Company’s customers. Revenue recognized for the years ended December 31, 2024 and 2025 that was included in contract liabilities as of January 1, 2024 and 2025 was RMB65,853 and RMB71,074 (US$10,163), respectively. A summary of contract liabilities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ind w:left="68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80" w:type="dxa"/>
            <w:vAlign w:val="bottom"/>
            <w:tcBorders>
              <w:bottom w:val="single" w:sz="8" w:color="auto"/>
            </w:tcBorders>
          </w:tcPr>
          <w:p>
            <w:pPr>
              <w:spacing w:after="0"/>
              <w:rPr>
                <w:sz w:val="15"/>
                <w:szCs w:val="15"/>
                <w:color w:val="auto"/>
              </w:rPr>
            </w:pPr>
          </w:p>
        </w:tc>
      </w:tr>
      <w:tr>
        <w:trPr>
          <w:trHeight w:val="142"/>
        </w:trPr>
        <w:tc>
          <w:tcPr>
            <w:tcW w:w="6980" w:type="dxa"/>
            <w:vAlign w:val="bottom"/>
          </w:tcPr>
          <w:p>
            <w:pPr>
              <w:ind w:left="68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680" w:type="dxa"/>
            <w:vAlign w:val="bottom"/>
            <w:tcBorders>
              <w:bottom w:val="single" w:sz="8" w:color="auto"/>
            </w:tcBorders>
          </w:tcPr>
          <w:p>
            <w:pPr>
              <w:spacing w:after="0"/>
              <w:rPr>
                <w:sz w:val="12"/>
                <w:szCs w:val="12"/>
                <w:color w:val="auto"/>
              </w:rPr>
            </w:pPr>
          </w:p>
        </w:tc>
      </w:tr>
      <w:tr>
        <w:trPr>
          <w:trHeight w:val="142"/>
        </w:trPr>
        <w:tc>
          <w:tcPr>
            <w:tcW w:w="6980" w:type="dxa"/>
            <w:vAlign w:val="bottom"/>
          </w:tcPr>
          <w:p>
            <w:pPr>
              <w:ind w:left="68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20" w:type="dxa"/>
            <w:vAlign w:val="bottom"/>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87,064</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121,848</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17,424</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Customer deposits relate to customer’s unused balances that are refundable. Once this balance is utilized by the customer, the corresponding amount would be recognized as revenue.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and 2025, the Company’s unsatisfied (or partially unsatisfied) performance obligations for contracts with an original expected length of more than one year was RMB41,114 and RMB83,544 (US$11,947), respectively. The Company expects to recognize the majority of its remaining performance obligations as revenue within the next two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revenues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revenues consists primarily of channel cost associated with value-added services, short messaging cost, technical services cost, cloud cost, staff costs and depreciation of servers used for revenue generating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w:t>
      </w:r>
    </w:p>
    <w:p>
      <w:pPr>
        <w:spacing w:after="0" w:line="144" w:lineRule="exact"/>
        <w:rPr>
          <w:sz w:val="20"/>
          <w:szCs w:val="20"/>
          <w:color w:val="auto"/>
        </w:rPr>
      </w:pPr>
    </w:p>
    <w:p>
      <w:pPr>
        <w:ind w:left="340" w:hanging="332"/>
        <w:spacing w:after="0"/>
        <w:tabs>
          <w:tab w:leader="none" w:pos="3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are primarily incurred in the development of new services, new features as well as costs associated with new product and technology development and enhancement. Research and development costs are expensed as incurred unless such costs qualify for capitalization as software development costs. No research and development costs were capitalized during any of the years presented as the Company has not met all of the necessary capitalization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Advertising expenses, including promotion expenses, are charged to “sales and marketing expenses” as incurred. Advertising expenses amounted to RMB7,035, RMB7,323 and RMB9,406 (US$1,345) for the years ended December 31, 2023, 2024 and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grants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Government grants primarily consist of financial grants received from provincial and local governments for operating a business in their jurisdictions and compliance with specific policies promoted by the local governments. For certain government grants, there are no defined rules and regulations to govern the criteria necessary for companies to receive such benefits, and the amount of financial subsidy is determined at the discretion of the relevant government authorities. The government grants of operating nature with no further conditions to be met are recorded as operating income in “Other operating income” when received. When the grant relates to an expense item, it is recognized in the consolidated statement of comprehensive (loss)/income over the period necessary to match the grant to the related costs. Where the grant relates to an asset acquisition, it is recognized in the consolidated statements of comprehensive (loss)/income in proportion to the depreciation of the related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w:t>
      </w:r>
    </w:p>
    <w:p>
      <w:pPr>
        <w:spacing w:after="0" w:line="144" w:lineRule="exact"/>
        <w:rPr>
          <w:sz w:val="20"/>
          <w:szCs w:val="20"/>
          <w:color w:val="auto"/>
        </w:rPr>
      </w:pPr>
    </w:p>
    <w:p>
      <w:pPr>
        <w:ind w:left="340" w:hanging="332"/>
        <w:spacing w:after="0"/>
        <w:tabs>
          <w:tab w:leader="none" w:pos="3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elected the package of practical expedients, which allows the Company not to reassess (1) whether any expired or existing contracts as of the adoption date are or contain a lease, (2) lease classification for any expired or existing leases as of the adoption date and (3) initial direct costs for any expired or existing leases as of the adoption date. The Company also elected the short-term lease exemption for all contracts with lease terms of 12 months or less.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or contains a lease at lease inception. Leases are classified at the inception date as either as a finance lease or an operating lease. The Company classifies a lease as a finance lease when the lease meets any one of the following criteria at lease commencement:</w:t>
      </w:r>
    </w:p>
    <w:p>
      <w:pPr>
        <w:spacing w:after="0" w:line="176" w:lineRule="exact"/>
        <w:rPr>
          <w:sz w:val="20"/>
          <w:szCs w:val="20"/>
          <w:color w:val="auto"/>
        </w:rPr>
      </w:pPr>
    </w:p>
    <w:p>
      <w:pPr>
        <w:ind w:left="680" w:hanging="321"/>
        <w:spacing w:after="0"/>
        <w:tabs>
          <w:tab w:leader="none" w:pos="6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transfers ownership of the underlying asset to the lessee by the end of the lease term.</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grants the lessee an option to purchase the underlying asset that the lessee is reasonably certain to exercise.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term is for a major part of the remaining economic life of the underlying asset.</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of the sum of the lease payments and any residual value guaranteed by the lessee that is not already reflected in the lease payments equals or exceeds substantially all of the fair value of the underlying asset.</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asset is of such a specialized nature that it is expected to have no alternative use to the Company at the end of the lease term.</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operating leases, the Company recognizes right-of-use assets (“ROU assets”) and lease liabilities based on the present value of the lease payments over the lease term on the consolidated balance sheets at commencement date. At lease commencement, operating lease ROU assets represent the right to use underlying assets for their respective lease terms and are recognized at amounts equal to the lease liabilities adjusted for any lease payments made prior to the lease commencement date, less any lease incentives received and any initial direct costs incurred by the Company.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lease commencement, operating lease liabilities are measured at the present value of the remaining lease payments using the discount rate determined at lease commencement. Operating lease ROU assets are measured at the amount of the lease liabilities and further adjusted for prepaid or accrued lease payments, the remaining balance of any lease incentives received, unamortized initial direct costs and impairment of the ROU assets, if any. Operating lease expense is recorded as a single cost on a straight-line basis over the lease term.</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leases do not provide an implicit rate. Therefore, the Company estimates its incremental borrowing rate based on the information available at the commencement date in determining the present value of lease payments. The incremental borrowing rate is estimated to approximate the interest rate on a collateralized basis with similar terms and payments, and in economic environments where the leased asset is 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w:t>
      </w:r>
    </w:p>
    <w:p>
      <w:pPr>
        <w:spacing w:after="0" w:line="144" w:lineRule="exact"/>
        <w:rPr>
          <w:sz w:val="20"/>
          <w:szCs w:val="20"/>
          <w:color w:val="auto"/>
        </w:rPr>
      </w:pPr>
    </w:p>
    <w:p>
      <w:pPr>
        <w:ind w:left="340" w:hanging="332"/>
        <w:spacing w:after="0"/>
        <w:tabs>
          <w:tab w:leader="none" w:pos="3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defined contribution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Full time employees of the Company in the PRC participate in a government mandated defined contribution plan pursuant to which certain pension benefits, medical care, unemployment insurance, employee housing fund, and other welfare benefits are provided to employees. Chinese labor regulations require that the Company make contributions to the government for these benefits based on a certain percentage of the employee’s salaries. The Company has no legal obligation for the benefits beyond the contributions. The total amount that was expensed as incurred was RMB11,820, RMB7,911 and RMB9,501 (US$1,359) for the years ended December 31, 2023, 2024 and 2025,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using the liability approach and recognizes deferred tax assets and liabilities for the expected future consequences of events that have been recognized in the consolidated financial statements or in the Company’s tax returns. Deferred tax assets and liabilities are recognized on the basis of the temporary differences that exist between the tax basis of assets and liabilities and their reported amounts in the consolidated financial statements using enacted tax rates in effect for the year end in which the differences are expected to reverse. Changes in deferred tax assets and liabilities are recorded in earnings. Deferred tax assets are reduced by a valuation allowance through a charge to income tax expense when, in the opinion of management, it is more-likely-than-not that a portion of or all of the deferred tax assets will not be realized. The Company evaluates the potential for recovery of deferred tax assets by estimating the future taxable profits expected and considering prudent and feasible tax planning strategies. The components of the deferred tax assets and liabilities are classified as non-current.</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consolidated financial statements by applying a two-step process to determine the amount of the benefit to be recognized. First, the tax position must be evaluated to determine the likelihood that it will be sustained upon external examination by the taxing authorities. If the tax position is deemed more-likely-than-not to be sustained (defined as a likelihood of more than fifty percent of being sustained upon an audit, based on the technical merits of the tax position), the tax position is then assessed to determine the amount of benefits to recognize in the consolidated financial statements. Tax positions that meet the “more likely than not” recognition threshold are measured, using a cumulative probability approach, at the largest amount of tax benefit that has a greater than 50% likelihood of being realized upon settlement. Interest and penalties on income taxes will be classified as a component of the provisions for income taxes.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evaluated its income tax uncertainty under ASC 740. ASC 740 clarifies the accounting for uncertainty in income taxes by prescribing the recognition threshold a tax position is required to meet before being recognized in the financial statements. The Company elects to classify interest and penalties related to an uncertain tax position, if and when required, as part of income tax expense in the consolidated statements of comprehensive (loss)/income.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w:t>
      </w:r>
    </w:p>
    <w:p>
      <w:pPr>
        <w:spacing w:after="0" w:line="144" w:lineRule="exact"/>
        <w:rPr>
          <w:sz w:val="20"/>
          <w:szCs w:val="20"/>
          <w:color w:val="auto"/>
        </w:rPr>
      </w:pPr>
    </w:p>
    <w:p>
      <w:pPr>
        <w:ind w:left="340" w:hanging="332"/>
        <w:spacing w:after="0"/>
        <w:tabs>
          <w:tab w:leader="none" w:pos="34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the Company determines whether an award granted to its employees should be classified and accounted for as a liability award or equity award. All of the Company’s share-based awards to employees were classified as equity awards. The Company measures the employees’ share-based compensation based on the fair value of the award at the grant date.</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the accelerated method for all awards granted with graded vesting based on service conditions, and elects to account for forfeitures as they occur. The company applies binomial option pricing model in determining the estimated fair value of the awards granted to employees on the date of the grant, and recognizes the estimated compensation cost based on the fair value.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change in the terms or conditions of a share-based award, or cancellation of a share-based award accompanied by the concurrent grant of a replacement award is accounted for as a modification (that is, an exchange of the original award for a new award), unless the award’s fair value, vesting conditions, and classification as an equity instrument are the same as immediately before and after the change. Incremental compensation cost is measured as the excess, if any, of the fair value of the modified award over the fair value of the original award immediately before its terms are modified, measured based on the fair value of the awards and other pertinent factors at the modification date. For vested awards, the Company recognizes incremental compensation cost in the period the modification occurs. For unvested awards, the Company recognizes over the remaining requisite service period, the sum of the incremental compensation cost and the remaining unrecognized compensation cost for the original award on the modification date. If the fair value of the modified award is lower than the fair value of the original award immediately before modification, the minimum compensation cost the Company recognizes is the cost of the original award.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ASC 820-10, </w:t>
      </w:r>
      <w:r>
        <w:rPr>
          <w:rFonts w:ascii="Times New Roman" w:cs="Times New Roman" w:eastAsia="Times New Roman" w:hAnsi="Times New Roman"/>
          <w:sz w:val="18"/>
          <w:szCs w:val="18"/>
          <w:i w:val="1"/>
          <w:iCs w:val="1"/>
          <w:color w:val="auto"/>
        </w:rPr>
        <w:t>Fair Value Measurements and Disclosures: Overall</w:t>
      </w:r>
      <w:r>
        <w:rPr>
          <w:rFonts w:ascii="Times New Roman" w:cs="Times New Roman" w:eastAsia="Times New Roman" w:hAnsi="Times New Roman"/>
          <w:sz w:val="18"/>
          <w:szCs w:val="18"/>
          <w:color w:val="auto"/>
        </w:rPr>
        <w:t>, establishes a three-tier fair value hierarchy, which prioritizes the inputs used in measuring fair value as follows: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Observable inputs that reflect quoted prices (unadjusted) for identical assets or liabilities in active markets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 Include other inputs that are directly or indirectly observable in the marketplace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which are supported by little or no market activity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820-10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amounts of financial assets and liabilities, such as cash equivalents, restricted cash, accounts receivables, other receivables within prepayments and other current assets, balances with related parties, short-term loan, accounts payable, and other payables with accrued liabilities and other current liabilities, approximate their fair values because of the short maturity of these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w:t>
      </w:r>
    </w:p>
    <w:p>
      <w:pPr>
        <w:spacing w:after="0" w:line="144" w:lineRule="exact"/>
        <w:rPr>
          <w:sz w:val="20"/>
          <w:szCs w:val="20"/>
          <w:color w:val="auto"/>
        </w:rPr>
      </w:pPr>
    </w:p>
    <w:p>
      <w:pPr>
        <w:ind w:left="340" w:hanging="332"/>
        <w:spacing w:after="0"/>
        <w:tabs>
          <w:tab w:leader="none" w:pos="34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Comprehensive (loss)/income is defined as the decrease or increase in equity of the Company during a year from transactions and other events and circumstances excluding transactions resulting from investments by owners and distributions to owners. Accumulated other comprehensive income of the Company includes the foreign currency translation adjustments.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(Loss)/earnings per share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ASC 260, </w:t>
      </w:r>
      <w:r>
        <w:rPr>
          <w:rFonts w:ascii="Times New Roman" w:cs="Times New Roman" w:eastAsia="Times New Roman" w:hAnsi="Times New Roman"/>
          <w:sz w:val="18"/>
          <w:szCs w:val="18"/>
          <w:i w:val="1"/>
          <w:iCs w:val="1"/>
          <w:color w:val="auto"/>
        </w:rPr>
        <w:t>Earning per Share</w:t>
      </w:r>
      <w:r>
        <w:rPr>
          <w:rFonts w:ascii="Times New Roman" w:cs="Times New Roman" w:eastAsia="Times New Roman" w:hAnsi="Times New Roman"/>
          <w:sz w:val="18"/>
          <w:szCs w:val="18"/>
          <w:color w:val="auto"/>
        </w:rPr>
        <w:t>, basic (loss)/earnings per share is computed by dividing net (loss)/income attributable to common shareholders by the weighted average number of common shares outstanding during the period using the two-class method. Under the two-class method, net (loss)/income is allocated between common shares based on dividends declared (or accumulated) and participating rights in undistributed earnings as if all the earnings for the reporting period had been distributed. For the year ended December 31, 2025, the two-class method is applicable because the Company has two classes of common shares outstanding, Class A and Class B common shares, respectively. The participating rights (liquidation and dividend rights) of the holders of the Company’s Class A and Class B common shares are identical, except with respect to voting. As a result, and in accordance with ASC 260, as the liquidation and dividend rights are identical, the undistributed (loss)/income is allocated on a proportionate basis.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Diluted (loss)/earnings per share is computed by dividing net (loss)/income attributable to common shareholders as adjusted for the effect of dilutive common equivalent shares, if any, by the weighted average number of common and dilutive common equivalent shares outstanding during the years. Common share equivalents are excluded from the computation of diluted (loss)/earnings per share if their effects would be anti-dilutive.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assets that potentially expose the Company to concentrations of credit risk consist primarily of cash and cash equivalents, restricted cash and accounts receivable.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places its cash and cash equivalents with reputable financial institutions which have high-credit ratings. As of December 31, 2024 and 2025, the aggregate amount of cash and cash equivalents, and restricted cash of RMB92,866 and RMB134,120 (US$19,179), respectively, were held at major financial institutions located in the PRC, and US$3,655 and US$5,621 (RMB39,309), respectively, were deposited with major financial institutions located outside the PRC. The Company continues to monitor the financial strength of the financial institutions. The Company regularly monitors the rating of the international financial institutions to avoid any potential defaults. There has been no recent history of default in relation to these financial institutions.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are typically unsecured and derived from revenue earned from customers mainly in the PRC, which are exposed to credit risk. The risk is mitigated by credit evaluations the Company performs on its customers and its ongoing monitoring process of outstanding balances. The Company maintains reserves for estimated credit losses, which have generally been within its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w:t>
      </w:r>
    </w:p>
    <w:p>
      <w:pPr>
        <w:spacing w:after="0" w:line="144" w:lineRule="exact"/>
        <w:rPr>
          <w:sz w:val="20"/>
          <w:szCs w:val="20"/>
          <w:color w:val="auto"/>
        </w:rPr>
      </w:pPr>
    </w:p>
    <w:p>
      <w:pPr>
        <w:ind w:left="340" w:hanging="332"/>
        <w:spacing w:after="0"/>
        <w:tabs>
          <w:tab w:leader="none" w:pos="3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suppliers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Approximately 27.8%, 48.15% and 41.91% of advertising costs were paid to three suppliers for the years ended December 31, 2023, 2024 and 2025,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and economic risk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believes that changes in any of the following areas could have a material adverse effect on the Company’s future consolidated financial position, results of operations or cash flows: changes in the overall demand for services; competitive pressures due to new entrants; advances and new trends in new technologies and industry standards; changes in certain strategic relationships; regulatory considerations and risks associated with the Company’s ability to attract employees necessary to support its growth. The Company’s operations could also be adversely affected by significant political, regulatory, economic and social uncertainties in the PRC.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convertibility risk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businesses are transacted in RMB, which is not freely convertible into foreign currencies. All foreign exchange transactions take place either through the People’s Bank of China (“PBOC”) or other authorized financial institutions at exchange rates quoted by PBOC. Approval of foreign currency payments by the PBOC or other regulatory institutions requires submitting a payment application form together with suppliers’ invoices and signed contracts.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functional currency and the reporting currency of the Company are the US$ and the RMB, respectively. On June 19, 2010, the PBOC announced the end of the RMB’s de facto peg to the US$, a policy which was instituted in late 2008 in the face of the global financial crisis, to further reform the RMB exchange rate regime and to enhance the RMB’s exchange rate flexibility. On March 15, 2014, the People’s Bank of China announced the widening of the daily trading band for RMB against US$. The depreciation of the US$ against RMB was approximately 4.19% in 2025. Most of the Company’s revenues and costs are denominated in RMB, while a portion of cash and cash equivalents, restricted cash, accounts receivable, and accounts payable are denominated in US$. Any significant revaluation of RMB may materially and adversely affect the Company’s consolidated revenues, earnings and financial position in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w:t>
      </w:r>
    </w:p>
    <w:p>
      <w:pPr>
        <w:spacing w:after="0" w:line="144" w:lineRule="exact"/>
        <w:rPr>
          <w:sz w:val="20"/>
          <w:szCs w:val="20"/>
          <w:color w:val="auto"/>
        </w:rPr>
      </w:pPr>
    </w:p>
    <w:p>
      <w:pPr>
        <w:ind w:left="340" w:hanging="332"/>
        <w:spacing w:after="0"/>
        <w:tabs>
          <w:tab w:leader="none" w:pos="34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operates in one operating and reportable segment and derives revenues primarily from SAAS Businesses. The Company’s chief operating decision maker is the Chief Executive Officer (“CEO”), who makes resource allocation decisions and assesses performance based on the consolidated financial results. The CEO assesses performance and decides how to allocate resources based on total revenue and consolidated net (loss)/income as reported on the consolidated statements of comprehensive (loss)/income. The CEO considers budget to actual comparisons of total revenue and consolidated net (loss)/income on a regular basis when assessing the operating results and making resource decisions to improve profitability aligned with the Company’s strategic initiatives and capital allocation priorities.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Significant expenses reviewed by the CEO include those that are presented in the consolidated statements of comprehensive (loss)/income. As the Company generates substantially most of its revenues and holds substantially all of its long-lived assets in the PRC, no geographical segments are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ASU No. 2023-09, </w:t>
      </w:r>
      <w:r>
        <w:rPr>
          <w:rFonts w:ascii="Times New Roman" w:cs="Times New Roman" w:eastAsia="Times New Roman" w:hAnsi="Times New Roman"/>
          <w:sz w:val="18"/>
          <w:szCs w:val="18"/>
          <w:i w:val="1"/>
          <w:iCs w:val="1"/>
          <w:color w:val="auto"/>
        </w:rPr>
        <w:t>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(Topic 740)</w:t>
      </w:r>
      <w:r>
        <w:rPr>
          <w:rFonts w:ascii="Times New Roman" w:cs="Times New Roman" w:eastAsia="Times New Roman" w:hAnsi="Times New Roman"/>
          <w:sz w:val="18"/>
          <w:szCs w:val="18"/>
          <w:color w:val="auto"/>
        </w:rPr>
        <w:t>. The ASU requires disaggregated information about a reporting entity’s effective tax rate reconciliation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additional information on income taxes paid. The Company adopted ASU No. 2023-09 as of December 31, 2025 on a prospective basis. The adoption did not have a material impact on the Company’s financial position, results of operations and cash flows.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March 2024, the Securities and Exchange Commission issued </w:t>
      </w:r>
      <w:r>
        <w:rPr>
          <w:rFonts w:ascii="Times New Roman" w:cs="Times New Roman" w:eastAsia="Times New Roman" w:hAnsi="Times New Roman"/>
          <w:sz w:val="18"/>
          <w:szCs w:val="18"/>
          <w:i w:val="1"/>
          <w:iCs w:val="1"/>
          <w:color w:val="auto"/>
        </w:rPr>
        <w:t>The Enhancement and Standardization of Climate-Related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Investors</w:t>
      </w:r>
      <w:r>
        <w:rPr>
          <w:rFonts w:ascii="Times New Roman" w:cs="Times New Roman" w:eastAsia="Times New Roman" w:hAnsi="Times New Roman"/>
          <w:sz w:val="18"/>
          <w:szCs w:val="18"/>
          <w:color w:val="auto"/>
        </w:rPr>
        <w:t>, which requires entities to provide information of certain climate-related information. This update will be effective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fiscal years beginning in 2027. The Company is currently in the process of evaluating the disclosure impact.</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xml:space="preserve"> (Subtopic 220-40), which requires the disaggregated disclosure of specific expense categories and also requires disclosure of the total amount of selling expenses along with the definition. ASU 2024-03 is effective for annual periods beginning after December 15, 2026, and interim periods within annual reporting periods beginning after December 15, 2027, with early adoption permitted. The guidance can be applied either prospectively or retrospectively. The Company is currently in the process of evaluating the disclosure impact.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Accounts Receivable and Contract Assets</w:t>
      </w:r>
      <w:r>
        <w:rPr>
          <w:rFonts w:ascii="Times New Roman" w:cs="Times New Roman" w:eastAsia="Times New Roman" w:hAnsi="Times New Roman"/>
          <w:sz w:val="18"/>
          <w:szCs w:val="18"/>
          <w:color w:val="auto"/>
        </w:rPr>
        <w:t>. The amendments in this update provide a practical expedient permitting an entity to assume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conditions at the balance sheet date remain unchanged over the life of the asset when estimating expected credit losses for current classified accounts receivable and contract assets. The amendments will be effective for annual reporting periods beginning after December 15, 2025, and interim reporting periods within those annual reporting periods. Adoption of this ASU can be applied prospectively for reporting periods after its effective date. Early adoption is permitted. The Company is currently in the process of evaluating the disclosure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w:t>
      </w:r>
    </w:p>
    <w:p>
      <w:pPr>
        <w:spacing w:after="0" w:line="144" w:lineRule="exact"/>
        <w:rPr>
          <w:sz w:val="20"/>
          <w:szCs w:val="20"/>
          <w:color w:val="auto"/>
        </w:rPr>
      </w:pPr>
    </w:p>
    <w:p>
      <w:pPr>
        <w:ind w:left="340" w:hanging="332"/>
        <w:spacing w:after="0"/>
        <w:tabs>
          <w:tab w:leader="none" w:pos="34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(continued)</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Intangibles—Goodwill and Other—Internal-Use Software (Subtopic 350-40):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Targeted Improvements to the Accounting for Internal-Use Software. </w:t>
      </w:r>
      <w:r>
        <w:rPr>
          <w:rFonts w:ascii="Times New Roman" w:cs="Times New Roman" w:eastAsia="Times New Roman" w:hAnsi="Times New Roman"/>
          <w:sz w:val="18"/>
          <w:szCs w:val="18"/>
          <w:color w:val="auto"/>
        </w:rPr>
        <w:t>The ASU simplifies the capitalization guidance by removing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references to prescriptive and sequential software development stages (referred to as “project stages”) throughout ASC 350-40. The ASU is effective for annual periods beginning after December 15, 2027, and interim periods within those fiscal years. Adoption of this ASU can be applied prospectively for reporting periods after its effective date; or follow a modified transition approach that is based on the status of the respective projects and whether software costs were capitalized before the date of adoption; or retrospectively to any or all prior periods presented in the consolidated financial statements. Early adoption is permitted. The Company is currently in the process of evaluating the disclosure impact.</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2025-10, </w:t>
      </w:r>
      <w:r>
        <w:rPr>
          <w:rFonts w:ascii="Times New Roman" w:cs="Times New Roman" w:eastAsia="Times New Roman" w:hAnsi="Times New Roman"/>
          <w:sz w:val="18"/>
          <w:szCs w:val="18"/>
          <w:i w:val="1"/>
          <w:iCs w:val="1"/>
          <w:color w:val="auto"/>
        </w:rPr>
        <w:t>Government Grants (Topic 832): Accounting for Government Grants Received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Business Entities</w:t>
      </w:r>
      <w:r>
        <w:rPr>
          <w:rFonts w:ascii="Times New Roman" w:cs="Times New Roman" w:eastAsia="Times New Roman" w:hAnsi="Times New Roman"/>
          <w:sz w:val="18"/>
          <w:szCs w:val="18"/>
          <w:color w:val="auto"/>
        </w:rPr>
        <w:t>. The ASU establishes authoritative guidance in GAAP about accounting for government grants received by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clarifies the appropriate accounting, in an effort to reduce diversity in practice, and increase consistency of application across business entities. The ASU is effective for annual reporting periods beginning after December 15, 2028, and interim reporting periods within those annual reporting periods. Adoption of this ASU can be applied a modified prospective approach, a modified retrospective approach, or a retrospective approach. Early adoption is permitted. The Company is currently in the process of evaluating the disclosure impact.</w:t>
      </w:r>
    </w:p>
    <w:p>
      <w:pPr>
        <w:spacing w:after="0" w:line="18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3</w:t>
        <w:tab/>
        <w:t>Accounts receivable,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80" w:type="dxa"/>
            <w:vAlign w:val="bottom"/>
            <w:vMerge w:val="restart"/>
          </w:tcPr>
          <w:p>
            <w:pPr>
              <w:ind w:left="68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vMerge w:val="continue"/>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80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38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(4,916)</w:t>
            </w:r>
          </w:p>
        </w:tc>
        <w:tc>
          <w:tcPr>
            <w:tcW w:w="180" w:type="dxa"/>
            <w:vAlign w:val="bottom"/>
          </w:tcPr>
          <w:p>
            <w:pPr>
              <w:spacing w:after="0"/>
              <w:rPr>
                <w:sz w:val="18"/>
                <w:szCs w:val="18"/>
                <w:color w:val="auto"/>
              </w:rPr>
            </w:pPr>
          </w:p>
        </w:tc>
        <w:tc>
          <w:tcPr>
            <w:tcW w:w="104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(6,495)</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accounts receivable, net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the movement in the allowance for credit losses:</w:t>
            </w: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980" w:type="dxa"/>
            <w:vAlign w:val="bottom"/>
            <w:vMerge w:val="restart"/>
          </w:tcPr>
          <w:p>
            <w:pPr>
              <w:ind w:left="68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4"/>
                <w:szCs w:val="24"/>
                <w:color w:val="auto"/>
              </w:rPr>
            </w:pP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980" w:type="dxa"/>
            <w:vAlign w:val="bottom"/>
            <w:vMerge w:val="continue"/>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80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38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(1,777)</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(1,741)</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4800"/>
              <w:spacing w:after="0"/>
              <w:rPr>
                <w:sz w:val="20"/>
                <w:szCs w:val="20"/>
                <w:color w:val="auto"/>
              </w:rPr>
            </w:pPr>
            <w:r>
              <w:rPr>
                <w:rFonts w:ascii="Times New Roman" w:cs="Times New Roman" w:eastAsia="Times New Roman" w:hAnsi="Times New Roman"/>
                <w:sz w:val="18"/>
                <w:szCs w:val="18"/>
                <w:color w:val="auto"/>
              </w:rPr>
              <w:t>F-33</w:t>
            </w: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9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69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w:t>
      </w:r>
    </w:p>
    <w:p>
      <w:pPr>
        <w:spacing w:after="0" w:line="144" w:lineRule="exact"/>
        <w:rPr>
          <w:sz w:val="20"/>
          <w:szCs w:val="20"/>
          <w:color w:val="auto"/>
        </w:rPr>
      </w:pPr>
    </w:p>
    <w:p>
      <w:pPr>
        <w:ind w:left="340" w:hanging="332"/>
        <w:spacing w:after="0"/>
        <w:tabs>
          <w:tab w:leader="none" w:pos="34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Prepayments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Prepayments and other current assets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9"/>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2"/>
                <w:szCs w:val="12"/>
                <w:color w:val="auto"/>
              </w:rPr>
            </w:pP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4"/>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3"/>
          </w:tcPr>
          <w:p>
            <w:pPr>
              <w:jc w:val="center"/>
              <w:ind w:left="13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28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service fee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VAT and other surcharges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expenses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Office rental deposit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deposits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media cost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41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Receivables from sales of shares on behalf of employees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0"/>
        </w:trPr>
        <w:tc>
          <w:tcPr>
            <w:tcW w:w="36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Total prepayments and other current assets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14,264</w:t>
            </w:r>
          </w:p>
        </w:tc>
        <w:tc>
          <w:tcPr>
            <w:tcW w:w="2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15,306</w:t>
            </w:r>
          </w:p>
        </w:tc>
        <w:tc>
          <w:tcPr>
            <w:tcW w:w="2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Short-term investments</w:t>
            </w: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4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Short-term investments classification as of December 31, 2025 were shown as below:</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ind w:right="44"/>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25"/>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gridSpan w:val="3"/>
          </w:tcPr>
          <w:p>
            <w:pPr>
              <w:jc w:val="center"/>
              <w:ind w:left="42"/>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Cost</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20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200" w:type="dxa"/>
            <w:vAlign w:val="bottom"/>
          </w:tcPr>
          <w:p>
            <w:pPr>
              <w:spacing w:after="0"/>
              <w:rPr>
                <w:sz w:val="12"/>
                <w:szCs w:val="12"/>
                <w:color w:val="auto"/>
              </w:rPr>
            </w:pPr>
          </w:p>
        </w:tc>
        <w:tc>
          <w:tcPr>
            <w:tcW w:w="8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7"/>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240" w:type="dxa"/>
            <w:vAlign w:val="bottom"/>
          </w:tcPr>
          <w:p>
            <w:pPr>
              <w:spacing w:after="0"/>
              <w:rPr>
                <w:sz w:val="12"/>
                <w:szCs w:val="12"/>
                <w:color w:val="auto"/>
              </w:rPr>
            </w:pPr>
          </w:p>
        </w:tc>
        <w:tc>
          <w:tcPr>
            <w:tcW w:w="1060" w:type="dxa"/>
            <w:vAlign w:val="bottom"/>
            <w:gridSpan w:val="6"/>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2460" w:type="dxa"/>
            <w:vAlign w:val="bottom"/>
          </w:tcPr>
          <w:p>
            <w:pPr>
              <w:spacing w:after="0"/>
              <w:rPr>
                <w:sz w:val="15"/>
                <w:szCs w:val="15"/>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3"/>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3"/>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Borders>
              <w:bottom w:val="single" w:sz="8" w:color="auto"/>
            </w:tcBorders>
          </w:tcPr>
          <w:p>
            <w:pPr>
              <w:spacing w:after="0"/>
              <w:rPr>
                <w:sz w:val="15"/>
                <w:szCs w:val="15"/>
                <w:color w:val="auto"/>
              </w:rPr>
            </w:pPr>
          </w:p>
        </w:tc>
        <w:tc>
          <w:tcPr>
            <w:tcW w:w="18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2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USD</w:t>
            </w:r>
          </w:p>
        </w:tc>
        <w:tc>
          <w:tcPr>
            <w:tcW w:w="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25"/>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3"/>
          </w:tcPr>
          <w:p>
            <w:pPr>
              <w:jc w:val="center"/>
              <w:ind w:left="42"/>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4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4"/>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USD</w:t>
            </w:r>
          </w:p>
        </w:tc>
        <w:tc>
          <w:tcPr>
            <w:tcW w:w="0" w:type="dxa"/>
            <w:vAlign w:val="bottom"/>
          </w:tcPr>
          <w:p>
            <w:pPr>
              <w:spacing w:after="0"/>
              <w:rPr>
                <w:sz w:val="1"/>
                <w:szCs w:val="1"/>
                <w:color w:val="auto"/>
              </w:rPr>
            </w:pPr>
          </w:p>
        </w:tc>
      </w:tr>
      <w:tr>
        <w:trPr>
          <w:trHeight w:val="198"/>
        </w:trPr>
        <w:tc>
          <w:tcPr>
            <w:tcW w:w="2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investments with readily</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3"/>
              </w:rPr>
              <w:t>5,000</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21"/>
        </w:trPr>
        <w:tc>
          <w:tcPr>
            <w:tcW w:w="2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determinable fair value</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continue"/>
            <w:shd w:val="clear" w:color="auto" w:fill="CCEEFF"/>
          </w:tcPr>
          <w:p>
            <w:pPr>
              <w:spacing w:after="0"/>
              <w:rPr>
                <w:sz w:val="19"/>
                <w:szCs w:val="19"/>
                <w:color w:val="auto"/>
              </w:rPr>
            </w:pP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continue"/>
            <w:shd w:val="clear" w:color="auto" w:fill="CCEEFF"/>
          </w:tcPr>
          <w:p>
            <w:pPr>
              <w:spacing w:after="0"/>
              <w:rPr>
                <w:sz w:val="19"/>
                <w:szCs w:val="19"/>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continue"/>
            <w:shd w:val="clear" w:color="auto" w:fill="CCEEFF"/>
          </w:tcPr>
          <w:p>
            <w:pPr>
              <w:spacing w:after="0"/>
              <w:rPr>
                <w:sz w:val="19"/>
                <w:szCs w:val="19"/>
                <w:color w:val="auto"/>
              </w:rPr>
            </w:pP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gridSpan w:val="3"/>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Company’s equity investments with readily determinable fair value represent a purchased private equity fund product, for which the Company does not have significant influence.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there were no short-term investments.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w:t>
      </w:r>
    </w:p>
    <w:p>
      <w:pPr>
        <w:spacing w:after="0" w:line="144" w:lineRule="exact"/>
        <w:rPr>
          <w:sz w:val="20"/>
          <w:szCs w:val="20"/>
          <w:color w:val="auto"/>
        </w:rPr>
      </w:pPr>
    </w:p>
    <w:p>
      <w:pPr>
        <w:ind w:left="340" w:hanging="332"/>
        <w:spacing w:after="0"/>
        <w:tabs>
          <w:tab w:leader="none" w:pos="34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80" w:type="dxa"/>
            <w:vAlign w:val="bottom"/>
            <w:vMerge w:val="restart"/>
          </w:tcPr>
          <w:p>
            <w:pPr>
              <w:ind w:left="68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vMerge w:val="continue"/>
          </w:tcPr>
          <w:p>
            <w:pPr>
              <w:spacing w:after="0"/>
              <w:rPr>
                <w:sz w:val="12"/>
                <w:szCs w:val="12"/>
                <w:color w:val="auto"/>
              </w:rPr>
            </w:pPr>
          </w:p>
        </w:tc>
        <w:tc>
          <w:tcPr>
            <w:tcW w:w="84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80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38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servers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impairment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(7,441)</w:t>
            </w:r>
          </w:p>
        </w:tc>
        <w:tc>
          <w:tcPr>
            <w:tcW w:w="180" w:type="dxa"/>
            <w:vAlign w:val="bottom"/>
          </w:tcPr>
          <w:p>
            <w:pPr>
              <w:spacing w:after="0"/>
              <w:rPr>
                <w:sz w:val="18"/>
                <w:szCs w:val="18"/>
                <w:color w:val="auto"/>
              </w:rPr>
            </w:pPr>
          </w:p>
        </w:tc>
        <w:tc>
          <w:tcPr>
            <w:tcW w:w="104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(6,140)</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impairment loss charges were recognized on property and equipment for the years ended December 31, 2023, 2024 and 2025.</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recognized for the years ended December 31, 2023, 2024 and 2025 were RMB5,301, RMB1,309 and RMB931 (US$133), respectively.</w:t>
      </w:r>
    </w:p>
    <w:p>
      <w:pPr>
        <w:spacing w:after="0" w:line="158" w:lineRule="exact"/>
        <w:rPr>
          <w:sz w:val="20"/>
          <w:szCs w:val="20"/>
          <w:color w:val="auto"/>
        </w:rPr>
      </w:pPr>
    </w:p>
    <w:p>
      <w:pPr>
        <w:ind w:left="340" w:hanging="332"/>
        <w:spacing w:after="0"/>
        <w:tabs>
          <w:tab w:leader="none" w:pos="34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Leases are classified as operating leases or finance leases in accordance with ASC 842. The Company’s operating leases mainly related to office facilities. The Company’s lease agreements include lease payments that are largely fixed, do not contain material residual value guarantees or variable lease payments. The Company’s leases do not contain restrictions or covenants that restrict the Company from incurring other financial obligations. For leases with terms greater than 12 months, the Company records the related asset and lease liability at the present value of lease payments over the term. Certain leases include rental escalation clauses, renewal options and/or termination options, which are factored into the Company’s determination of lease payments when appropriate.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 weighted average remaining lease term was 4.2 years and weighted average discount rate was 3.61% for the Company’s operating leases. As of December 31, 2025, the weighted average remaining lease term was 4.1 years and weighted average discount rate was 2.44% for the Company’s operating leases.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lease cost for the years ended December 31, 2023, 2024 and 2025 were RMB8,029, RMB5,910 and RMB5,113 (US$731), respectively, which excluded cost of short-term contracts. Short-term lease cost for the years ended December 31, 2023, 2024 and 2025 were RMB231, RMB742 and RMB833 (US$119). For the years ended December 31, 2023, 2024 and 2025, no lease cost for operating leases was capitalized. Supplemental cash flow information related to operating leases was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5"/>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6320" w:type="dxa"/>
            <w:vAlign w:val="bottom"/>
          </w:tcPr>
          <w:p>
            <w:pPr>
              <w:spacing w:after="0"/>
              <w:rPr>
                <w:sz w:val="12"/>
                <w:szCs w:val="12"/>
                <w:color w:val="auto"/>
              </w:rPr>
            </w:pPr>
          </w:p>
        </w:tc>
        <w:tc>
          <w:tcPr>
            <w:tcW w:w="74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60" w:type="dxa"/>
            <w:vAlign w:val="bottom"/>
            <w:gridSpan w:val="2"/>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jc w:val="right"/>
              <w:ind w:right="639"/>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r>
      <w:tr>
        <w:trPr>
          <w:trHeight w:val="142"/>
        </w:trPr>
        <w:tc>
          <w:tcPr>
            <w:tcW w:w="6320" w:type="dxa"/>
            <w:vAlign w:val="bottom"/>
          </w:tcPr>
          <w:p>
            <w:pPr>
              <w:ind w:left="6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    US$</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for operating leases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3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ROU assets obtained in exchange for operating lease liabilities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18,632</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846"/>
        </w:trPr>
        <w:tc>
          <w:tcPr>
            <w:tcW w:w="632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F-35</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47"/>
        </w:trPr>
        <w:tc>
          <w:tcPr>
            <w:tcW w:w="6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w:t>
      </w:r>
    </w:p>
    <w:p>
      <w:pPr>
        <w:spacing w:after="0" w:line="144" w:lineRule="exact"/>
        <w:rPr>
          <w:sz w:val="20"/>
          <w:szCs w:val="20"/>
          <w:color w:val="auto"/>
        </w:rPr>
      </w:pPr>
    </w:p>
    <w:p>
      <w:pPr>
        <w:ind w:left="340" w:hanging="332"/>
        <w:spacing w:after="0"/>
        <w:tabs>
          <w:tab w:leader="none" w:pos="34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lease payments under operating lease as of December 31, 2025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00" w:type="dxa"/>
            <w:vAlign w:val="bottom"/>
            <w:vMerge w:val="restart"/>
          </w:tcPr>
          <w:p>
            <w:pPr>
              <w:ind w:left="6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12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80" w:type="dxa"/>
            <w:vAlign w:val="bottom"/>
          </w:tcPr>
          <w:p>
            <w:pPr>
              <w:spacing w:after="0"/>
              <w:rPr>
                <w:sz w:val="12"/>
                <w:szCs w:val="12"/>
                <w:color w:val="auto"/>
              </w:rPr>
            </w:pPr>
          </w:p>
        </w:tc>
        <w:tc>
          <w:tcPr>
            <w:tcW w:w="8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jc w:val="right"/>
              <w:ind w:right="71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7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16,203</w:t>
            </w:r>
          </w:p>
        </w:tc>
        <w:tc>
          <w:tcPr>
            <w:tcW w:w="1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liability balance</w:t>
            </w:r>
          </w:p>
        </w:tc>
        <w:tc>
          <w:tcPr>
            <w:tcW w:w="3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15,414</w:t>
            </w: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has recognized goodwill of RMB37,785 and RMB37,785 (US$5,403) as of December 31, 2024 and 2025, respectively, as part of the business acquisition of Wuhan SendCloud Technology Co., Ltd., (“SendCloud”). There were no impairment charges in the carrying amount of goodwill during the years ended December 31, 2023, 2024 and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80" w:type="dxa"/>
            <w:vAlign w:val="bottom"/>
            <w:vMerge w:val="restart"/>
          </w:tcPr>
          <w:p>
            <w:pPr>
              <w:ind w:left="68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vMerge w:val="continue"/>
          </w:tcPr>
          <w:p>
            <w:pPr>
              <w:spacing w:after="0"/>
              <w:rPr>
                <w:sz w:val="12"/>
                <w:szCs w:val="12"/>
                <w:color w:val="auto"/>
              </w:rPr>
            </w:pPr>
          </w:p>
        </w:tc>
        <w:tc>
          <w:tcPr>
            <w:tcW w:w="84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80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38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 systems and technology</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Brand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(25,147)</w:t>
            </w:r>
          </w:p>
        </w:tc>
        <w:tc>
          <w:tcPr>
            <w:tcW w:w="180" w:type="dxa"/>
            <w:vAlign w:val="bottom"/>
          </w:tcPr>
          <w:p>
            <w:pPr>
              <w:spacing w:after="0"/>
              <w:rPr>
                <w:sz w:val="18"/>
                <w:szCs w:val="18"/>
                <w:color w:val="auto"/>
              </w:rPr>
            </w:pPr>
          </w:p>
        </w:tc>
        <w:tc>
          <w:tcPr>
            <w:tcW w:w="104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(29,372)</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intangible assets, net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impairment charges were recognized on intangible assets for the years ended December 31, 2023, 2024 and 2025, respectively.</w:t>
      </w:r>
    </w:p>
    <w:p>
      <w:pPr>
        <w:spacing w:after="0" w:line="225"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weighted average amortization period of intangible assets were 5.9 years, 5.9 years and 5.8 years for the years ended December 31, 2023, 2024 and 2025, respectively.</w:t>
      </w:r>
    </w:p>
    <w:p>
      <w:pPr>
        <w:spacing w:after="0" w:line="162"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Amortization expense of intangible assets were RMB6,223, RMB4,648 and RMB4,225 (US$604) for the years ended December 31, 2023, 2024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w:t>
      </w:r>
    </w:p>
    <w:p>
      <w:pPr>
        <w:spacing w:after="0" w:line="144" w:lineRule="exact"/>
        <w:rPr>
          <w:sz w:val="20"/>
          <w:szCs w:val="20"/>
          <w:color w:val="auto"/>
        </w:rPr>
      </w:pPr>
    </w:p>
    <w:p>
      <w:pPr>
        <w:ind w:left="340" w:hanging="332"/>
        <w:spacing w:after="0"/>
        <w:tabs>
          <w:tab w:leader="none" w:pos="34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amortization expense relating to the existing intangible assets with finite lives for each of the next five years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0" w:type="dxa"/>
            <w:vAlign w:val="bottom"/>
            <w:gridSpan w:val="2"/>
          </w:tcPr>
          <w:p>
            <w:pPr>
              <w:ind w:left="68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480" w:type="dxa"/>
            <w:vAlign w:val="bottom"/>
          </w:tcPr>
          <w:p>
            <w:pPr>
              <w:spacing w:after="0"/>
              <w:rPr>
                <w:sz w:val="15"/>
                <w:szCs w:val="15"/>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09"/>
        </w:trPr>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 ending December 31, 2026</w:t>
            </w: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4,128</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1,524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1,035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1,030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1,030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intangible assets with an indefinite useful life as of December 31, 2024 and 2025.</w:t>
      </w:r>
    </w:p>
    <w:p>
      <w:pPr>
        <w:spacing w:after="0" w:line="167" w:lineRule="exact"/>
        <w:rPr>
          <w:sz w:val="20"/>
          <w:szCs w:val="20"/>
          <w:color w:val="auto"/>
        </w:rPr>
      </w:pPr>
    </w:p>
    <w:p>
      <w:pPr>
        <w:ind w:left="340" w:hanging="332"/>
        <w:spacing w:after="0"/>
        <w:tabs>
          <w:tab w:leader="none" w:pos="34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investments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 without readily determinable fair value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carrying amount of the Company’s equity investments was RMB113,506.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carrying amount of the Company’s equity investments was RMB112,609 (US$16,103).</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2023, the Company disposed of its 2.5698% equity ownership of a non-listed company for a total consideration of RMB10,279 and recognized a disposal loss of RMB10,754, after which the Company no longer held the non-listed company’s equity ownership.</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Impairment charges recognized on equity investments without readily determinable fair value was RMB8,505, nil and nil for the years ended December 31, 2023, 2024 and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2023, the Company acquired a 15% of equity interest in a non-listed company and has significant influence as it holds one seat out of the five board seats of the equity investee. The Company recognized its share of losses in the investee of RMB450 for the year ended December 31, 2023 and the carrying amount of the equity method investment was nil as of December 31, 2024 and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Short-term loan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00" w:type="dxa"/>
            <w:vAlign w:val="bottom"/>
            <w:vMerge w:val="restart"/>
          </w:tcPr>
          <w:p>
            <w:pPr>
              <w:ind w:left="65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00" w:type="dxa"/>
            <w:vAlign w:val="bottom"/>
            <w:vMerge w:val="continue"/>
          </w:tcPr>
          <w:p>
            <w:pPr>
              <w:spacing w:after="0"/>
              <w:rPr>
                <w:sz w:val="12"/>
                <w:szCs w:val="12"/>
                <w:color w:val="auto"/>
              </w:rPr>
            </w:pPr>
          </w:p>
        </w:tc>
        <w:tc>
          <w:tcPr>
            <w:tcW w:w="92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vMerge w:val="continue"/>
          </w:tcPr>
          <w:p>
            <w:pPr>
              <w:spacing w:after="0"/>
              <w:rPr>
                <w:sz w:val="12"/>
                <w:szCs w:val="12"/>
                <w:color w:val="auto"/>
              </w:rPr>
            </w:pPr>
          </w:p>
        </w:tc>
        <w:tc>
          <w:tcPr>
            <w:tcW w:w="64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40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bank borrowings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2024, the Company borrowed a RMB denominated loan of RMB3,000 with a fixed interest rate of 4.9% for a one-year term from Shenzhen Zhongxiaodan Micro Credit Co., Ltd. The short-term loan of RMB3,000 was fully repaid in March 2025.</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44"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w:t>
      </w:r>
    </w:p>
    <w:p>
      <w:pPr>
        <w:spacing w:after="0" w:line="14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Deferred revenue and customer deposits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 and customer deposits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1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0" w:type="dxa"/>
            <w:vAlign w:val="bottom"/>
            <w:gridSpan w:val="9"/>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80" w:type="dxa"/>
            <w:vAlign w:val="bottom"/>
            <w:vMerge w:val="restart"/>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4"/>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40" w:type="dxa"/>
            <w:vAlign w:val="bottom"/>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87,070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17,424</w:t>
            </w:r>
          </w:p>
        </w:tc>
        <w:tc>
          <w:tcPr>
            <w:tcW w:w="0" w:type="dxa"/>
            <w:vAlign w:val="bottom"/>
          </w:tcPr>
          <w:p>
            <w:pPr>
              <w:spacing w:after="0"/>
              <w:rPr>
                <w:sz w:val="1"/>
                <w:szCs w:val="1"/>
                <w:color w:val="auto"/>
              </w:rPr>
            </w:pPr>
          </w:p>
        </w:tc>
      </w:tr>
      <w:tr>
        <w:trPr>
          <w:trHeight w:val="216"/>
        </w:trPr>
        <w:tc>
          <w:tcPr>
            <w:tcW w:w="5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10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60,041</w:t>
            </w: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56,802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0" w:type="dxa"/>
            <w:vAlign w:val="bottom"/>
          </w:tcPr>
          <w:p>
            <w:pPr>
              <w:spacing w:after="0"/>
              <w:rPr>
                <w:sz w:val="1"/>
                <w:szCs w:val="1"/>
                <w:color w:val="auto"/>
              </w:rPr>
            </w:pPr>
          </w:p>
        </w:tc>
      </w:tr>
      <w:tr>
        <w:trPr>
          <w:trHeight w:val="209"/>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revenue and customer deposits – current</w:t>
            </w: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147,111</w:t>
            </w:r>
          </w:p>
        </w:tc>
        <w:tc>
          <w:tcPr>
            <w:tcW w:w="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178,650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25,547</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12  Accrued liabilities and other current liabilities</w:t>
            </w:r>
          </w:p>
        </w:tc>
        <w:tc>
          <w:tcPr>
            <w:tcW w:w="1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8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 and other current liabilities consist of the following:</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4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1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420" w:type="dxa"/>
            <w:vAlign w:val="bottom"/>
            <w:gridSpan w:val="8"/>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1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gridSpan w:val="5"/>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4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welfare payables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46,473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Payable for business acquisition</w:t>
            </w: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(i)</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16,338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taxes and surcharges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9,527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 fees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grants subject to deferral or return</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10"/>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accrued liabilities and other current liabilities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74,370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80,939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11,574</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3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20" w:hanging="493"/>
        <w:spacing w:after="0"/>
        <w:tabs>
          <w:tab w:leader="none" w:pos="5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represents the remaining unpaid cash consideration from the acquisition of SendCloud.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4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3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except for number of options and per exercise option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option and restricted share unit plans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 Incentive Plan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23 2014, the Company’s board of directors and shareholders approved the 2014 Incentive Plan (the “2014 Plan”). Awards under the 2014 Plan vest up to 4 years from the date of grant and expire no more than 10 years after the grant date. The Company reserved a total of 5,500,000 common shares for issuance under the 2014 Plan. As of December 31, 2025, there were no shares remain available for grant under the 2014 Plan as the 2014 Plan has expired. For the years ended December 31, 2025, the Company has extended the terms of 306,828 awards that have been vested but not exercised under the 2014 Plan for additional periods. The impact of this modification is not significant.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 Incentive Plan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 2017, the Company’s board of directors and shareholders approved the 2017 Incentive Plan (the “2017 Plan”). Awards under the 2017 Plan vest up to 4 years from the date of grant and expire no more than 10 years after the grant date. The Company reserved a total of 6,015,137 common shares for issuance under the 2017 Plan. As of December 31, 2025, 2,867 shares remain available of grant under the 2017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Incentive Plan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2021, the Company’s board of directors and shareholders approved the 2021 Incentive Plan (the “2021 Plan”). Awards under the 2021 Plan vest up to 4 years from the date of grant and expire no more than 10 years after the grant date. The Company reserved a total of 4,000,000 common shares for issuance under the 2021 Plan. As of December 31, 2025, 1,960 shares remain available of grant under the 2021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Incentive Plan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2023, the Company’s board of directors and shareholders approved the 2023 Incentive Plan (the “2023 Plan”). Awards under the 2023 Plan vest up to 4 years from the date of grant and expire no more than 10 years after the grant date. The Company reserved a total of 4,000,000 common shares for issuance under the 2023 Plan. As of December 31, 2025, 2,439,067 shares remain available of grant under the 2023 Plan.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exercise price, vesting and other conditions of individual awards are determined by the board of directors or any of the committees appointed by the board of directors to administer the 2014, 2017, 2021 and 2023 Incentive Plans. Upon the termination of the Grantee’s continuous service, the Company has the right to repurchase the vested award or shares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3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except for number of options and per exercise option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Share-based compensation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option and restricted share unit plans (continued)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share option activity for the Company’s Incentive Plans for the year ended December 31,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640" w:type="dxa"/>
            <w:vAlign w:val="bottom"/>
            <w:gridSpan w:val="2"/>
            <w:vMerge w:val="restart"/>
          </w:tcPr>
          <w:p>
            <w:pPr>
              <w:jc w:val="right"/>
              <w:ind w:right="695"/>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Weighted-</w:t>
            </w:r>
          </w:p>
        </w:tc>
        <w:tc>
          <w:tcPr>
            <w:tcW w:w="1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40" w:type="dxa"/>
            <w:vAlign w:val="bottom"/>
            <w:gridSpan w:val="2"/>
            <w:vMerge w:val="restart"/>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  Average</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Options Granted to Employees and Directors</w:t>
            </w:r>
          </w:p>
        </w:tc>
        <w:tc>
          <w:tcPr>
            <w:tcW w:w="8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160" w:type="dxa"/>
            <w:vAlign w:val="bottom"/>
          </w:tcPr>
          <w:p>
            <w:pPr>
              <w:spacing w:after="0"/>
              <w:rPr>
                <w:sz w:val="12"/>
                <w:szCs w:val="12"/>
                <w:color w:val="auto"/>
              </w:rPr>
            </w:pPr>
          </w:p>
        </w:tc>
        <w:tc>
          <w:tcPr>
            <w:tcW w:w="780" w:type="dxa"/>
            <w:vAlign w:val="bottom"/>
          </w:tcPr>
          <w:p>
            <w:pPr>
              <w:jc w:val="right"/>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60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Option</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60" w:type="dxa"/>
            <w:vAlign w:val="bottom"/>
          </w:tcPr>
          <w:p>
            <w:pPr>
              <w:spacing w:after="0"/>
              <w:rPr>
                <w:sz w:val="15"/>
                <w:szCs w:val="15"/>
                <w:color w:val="auto"/>
              </w:rPr>
            </w:pPr>
          </w:p>
        </w:tc>
        <w:tc>
          <w:tcPr>
            <w:tcW w:w="7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1640" w:type="dxa"/>
            <w:vAlign w:val="bottom"/>
            <w:gridSpan w:val="2"/>
          </w:tcPr>
          <w:p>
            <w:pPr>
              <w:jc w:val="right"/>
              <w:ind w:right="695"/>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9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9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8,794,368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12,923</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Borders>
              <w:top w:val="single" w:sz="8" w:color="CCEEFF"/>
              <w:bottom w:val="single" w:sz="8" w:color="CCEEFF"/>
            </w:tcBorders>
            <w:vMerge w:val="restart"/>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7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7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460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522,066</w:t>
            </w:r>
          </w:p>
        </w:tc>
        <w:tc>
          <w:tcPr>
            <w:tcW w:w="16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40,227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970,693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Cancelled</w:t>
            </w:r>
          </w:p>
        </w:tc>
        <w:tc>
          <w:tcPr>
            <w:tcW w:w="8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8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8,305,514</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11,738</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as of December 31, 2025</w:t>
            </w:r>
          </w:p>
        </w:tc>
        <w:tc>
          <w:tcPr>
            <w:tcW w:w="820" w:type="dxa"/>
            <w:vAlign w:val="bottom"/>
            <w:vMerge w:val="restart"/>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11,738</w:t>
            </w:r>
          </w:p>
        </w:tc>
        <w:tc>
          <w:tcPr>
            <w:tcW w:w="0" w:type="dxa"/>
            <w:vAlign w:val="bottom"/>
          </w:tcPr>
          <w:p>
            <w:pPr>
              <w:spacing w:after="0" w:line="20" w:lineRule="exact"/>
              <w:rPr>
                <w:sz w:val="1"/>
                <w:szCs w:val="1"/>
                <w:color w:val="auto"/>
              </w:rPr>
            </w:pPr>
          </w:p>
        </w:tc>
      </w:tr>
      <w:tr>
        <w:trPr>
          <w:trHeight w:val="236"/>
        </w:trPr>
        <w:tc>
          <w:tcPr>
            <w:tcW w:w="460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8,305,514</w:t>
            </w:r>
          </w:p>
        </w:tc>
        <w:tc>
          <w:tcPr>
            <w:tcW w:w="920" w:type="dxa"/>
            <w:vAlign w:val="bottom"/>
            <w:tcBorders>
              <w:bottom w:val="single" w:sz="8" w:color="CCEEFF"/>
            </w:tcBorders>
            <w:gridSpan w:val="2"/>
            <w:vMerge w:val="continue"/>
          </w:tcPr>
          <w:p>
            <w:pPr>
              <w:spacing w:after="0"/>
              <w:rPr>
                <w:sz w:val="20"/>
                <w:szCs w:val="20"/>
                <w:color w:val="auto"/>
              </w:rPr>
            </w:pPr>
          </w:p>
        </w:tc>
        <w:tc>
          <w:tcPr>
            <w:tcW w:w="900" w:type="dxa"/>
            <w:vAlign w:val="bottom"/>
            <w:tcBorders>
              <w:bottom w:val="single" w:sz="8" w:color="CCEEFF"/>
            </w:tcBorders>
            <w:gridSpan w:val="2"/>
            <w:vMerge w:val="continue"/>
          </w:tcPr>
          <w:p>
            <w:pPr>
              <w:spacing w:after="0"/>
              <w:rPr>
                <w:sz w:val="20"/>
                <w:szCs w:val="20"/>
                <w:color w:val="auto"/>
              </w:rPr>
            </w:pPr>
          </w:p>
        </w:tc>
        <w:tc>
          <w:tcPr>
            <w:tcW w:w="920" w:type="dxa"/>
            <w:vAlign w:val="bottom"/>
            <w:tcBorders>
              <w:bottom w:val="single" w:sz="8" w:color="CCEEFF"/>
            </w:tcBorders>
            <w:gridSpan w:val="2"/>
            <w:vMerge w:val="continue"/>
          </w:tcPr>
          <w:p>
            <w:pPr>
              <w:spacing w:after="0"/>
              <w:rPr>
                <w:sz w:val="20"/>
                <w:szCs w:val="20"/>
                <w:color w:val="auto"/>
              </w:rPr>
            </w:pPr>
          </w:p>
        </w:tc>
        <w:tc>
          <w:tcPr>
            <w:tcW w:w="94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6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Vested as of December 31, 2025</w:t>
            </w:r>
          </w:p>
        </w:tc>
        <w:tc>
          <w:tcPr>
            <w:tcW w:w="8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8,083,840</w:t>
            </w:r>
          </w:p>
        </w:tc>
        <w:tc>
          <w:tcPr>
            <w:tcW w:w="9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9.21</w:t>
            </w:r>
          </w:p>
        </w:tc>
        <w:tc>
          <w:tcPr>
            <w:tcW w:w="9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13.47</w:t>
            </w:r>
          </w:p>
        </w:tc>
        <w:tc>
          <w:tcPr>
            <w:tcW w:w="9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4.62</w:t>
            </w:r>
          </w:p>
        </w:tc>
        <w:tc>
          <w:tcPr>
            <w:tcW w:w="94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11,006</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difference between the closing stock price on the last trading day in 2024 and 2025 and the option’s respective exercise price.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the share options granted during the years ended December 31, 2023, 2024 and 2025 were RMB3.23, RMB2.04 and RMB3.62 (US$0.52), respectively.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aggregate unrecognized share-based compensation expense was RMB88 (US$13) as of December 31, 2025, which the Company expects to recognize over an estimated weighted-average period of 0.29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3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except for number of options and per exercise option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Share-based compensation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option and restricted share unit plans (continued)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options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estimates the fair value of each award on grant date using the binomial option pricing model. The binominal model requires the input of highly subjective assumptions, including the expected share price volatility and the suboptimal early exercise factor. For expected volatility, the Company has made reference to historical volatilities of several comparable companies. The suboptimal early exercise factor was estimated based on the Company’s expectation of exercise behavior of the grantees. The risk-free rate for periods within the contractual life of the options is based on the market yield of U.S. Treasury Bonds in effect at the time of grant. Subsequent to the IPO, fair value of the common shares is the price of the Company’s publicly traded shares. The Company’s management is ultimately responsible for the determination of the estimated fair value of its common shares.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share-based compensation expense using the accelerated recognition method over the requisite service period, which is generally subject to graded vesting.</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assumptions used to estimate the fair values of share options granted for the years ended December 31, 2023, 2024 and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4200" w:type="dxa"/>
            <w:vAlign w:val="bottom"/>
            <w:gridSpan w:val="2"/>
          </w:tcPr>
          <w:p>
            <w:pPr>
              <w:ind w:left="40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5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ind w:right="13"/>
              <w:spacing w:after="0"/>
              <w:rPr>
                <w:sz w:val="20"/>
                <w:szCs w:val="20"/>
                <w:color w:val="auto"/>
              </w:rPr>
            </w:pPr>
            <w:r>
              <w:rPr>
                <w:rFonts w:ascii="Times New Roman" w:cs="Times New Roman" w:eastAsia="Times New Roman" w:hAnsi="Times New Roman"/>
                <w:sz w:val="18"/>
                <w:szCs w:val="18"/>
                <w:color w:val="auto"/>
                <w:w w:val="98"/>
              </w:rPr>
              <w:t>3.45%</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3.88%</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4.19%-4.24%</w:t>
            </w:r>
          </w:p>
        </w:tc>
      </w:tr>
      <w:tr>
        <w:trPr>
          <w:trHeight w:val="216"/>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800" w:type="dxa"/>
            <w:vAlign w:val="bottom"/>
          </w:tcPr>
          <w:p>
            <w:pPr>
              <w:jc w:val="center"/>
              <w:ind w:right="33"/>
              <w:spacing w:after="0"/>
              <w:rPr>
                <w:sz w:val="20"/>
                <w:szCs w:val="20"/>
                <w:color w:val="auto"/>
              </w:rPr>
            </w:pPr>
            <w:r>
              <w:rPr>
                <w:rFonts w:ascii="Times New Roman" w:cs="Times New Roman" w:eastAsia="Times New Roman" w:hAnsi="Times New Roman"/>
                <w:sz w:val="18"/>
                <w:szCs w:val="18"/>
                <w:color w:val="auto"/>
                <w:w w:val="99"/>
              </w:rPr>
              <w:t>0%</w:t>
            </w:r>
          </w:p>
        </w:tc>
        <w:tc>
          <w:tcPr>
            <w:tcW w:w="1060" w:type="dxa"/>
            <w:vAlign w:val="bottom"/>
            <w:gridSpan w:val="2"/>
          </w:tcPr>
          <w:p>
            <w:pPr>
              <w:jc w:val="center"/>
              <w:ind w:left="68"/>
              <w:spacing w:after="0"/>
              <w:rPr>
                <w:sz w:val="20"/>
                <w:szCs w:val="20"/>
                <w:color w:val="auto"/>
              </w:rPr>
            </w:pPr>
            <w:r>
              <w:rPr>
                <w:rFonts w:ascii="Times New Roman" w:cs="Times New Roman" w:eastAsia="Times New Roman" w:hAnsi="Times New Roman"/>
                <w:sz w:val="18"/>
                <w:szCs w:val="18"/>
                <w:color w:val="auto"/>
                <w:w w:val="99"/>
              </w:rPr>
              <w:t>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6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0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8"/>
                <w:szCs w:val="18"/>
                <w:color w:val="auto"/>
              </w:rPr>
              <w:t>56.55%</w:t>
            </w:r>
          </w:p>
        </w:tc>
        <w:tc>
          <w:tcPr>
            <w:tcW w:w="1060" w:type="dxa"/>
            <w:vAlign w:val="bottom"/>
            <w:gridSpan w:val="2"/>
            <w:shd w:val="clear" w:color="auto" w:fill="CCEEFF"/>
          </w:tcPr>
          <w:p>
            <w:pPr>
              <w:jc w:val="center"/>
              <w:ind w:left="88"/>
              <w:spacing w:after="0"/>
              <w:rPr>
                <w:sz w:val="20"/>
                <w:szCs w:val="20"/>
                <w:color w:val="auto"/>
              </w:rPr>
            </w:pPr>
            <w:r>
              <w:rPr>
                <w:rFonts w:ascii="Times New Roman" w:cs="Times New Roman" w:eastAsia="Times New Roman" w:hAnsi="Times New Roman"/>
                <w:sz w:val="18"/>
                <w:szCs w:val="18"/>
                <w:color w:val="auto"/>
                <w:w w:val="97"/>
              </w:rPr>
              <w:t>57.25%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59.61%-60.01%</w:t>
            </w:r>
          </w:p>
        </w:tc>
      </w:tr>
      <w:tr>
        <w:trPr>
          <w:trHeight w:val="216"/>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expected volatility</w:t>
            </w:r>
          </w:p>
        </w:tc>
        <w:tc>
          <w:tcPr>
            <w:tcW w:w="800" w:type="dxa"/>
            <w:vAlign w:val="bottom"/>
          </w:tcPr>
          <w:p>
            <w:pPr>
              <w:jc w:val="center"/>
              <w:ind w:right="33"/>
              <w:spacing w:after="0"/>
              <w:rPr>
                <w:sz w:val="20"/>
                <w:szCs w:val="20"/>
                <w:color w:val="auto"/>
              </w:rPr>
            </w:pPr>
            <w:r>
              <w:rPr>
                <w:rFonts w:ascii="Times New Roman" w:cs="Times New Roman" w:eastAsia="Times New Roman" w:hAnsi="Times New Roman"/>
                <w:sz w:val="18"/>
                <w:szCs w:val="18"/>
                <w:color w:val="auto"/>
              </w:rPr>
              <w:t>56.55%</w:t>
            </w:r>
          </w:p>
        </w:tc>
        <w:tc>
          <w:tcPr>
            <w:tcW w:w="1060" w:type="dxa"/>
            <w:vAlign w:val="bottom"/>
            <w:gridSpan w:val="2"/>
          </w:tcPr>
          <w:p>
            <w:pPr>
              <w:jc w:val="center"/>
              <w:ind w:left="88"/>
              <w:spacing w:after="0"/>
              <w:rPr>
                <w:sz w:val="20"/>
                <w:szCs w:val="20"/>
                <w:color w:val="auto"/>
              </w:rPr>
            </w:pPr>
            <w:r>
              <w:rPr>
                <w:rFonts w:ascii="Times New Roman" w:cs="Times New Roman" w:eastAsia="Times New Roman" w:hAnsi="Times New Roman"/>
                <w:sz w:val="18"/>
                <w:szCs w:val="18"/>
                <w:color w:val="auto"/>
                <w:w w:val="97"/>
              </w:rPr>
              <w:t>57.25%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59.83%</w:t>
            </w:r>
          </w:p>
        </w:tc>
      </w:tr>
      <w:tr>
        <w:trPr>
          <w:trHeight w:val="216"/>
        </w:trPr>
        <w:tc>
          <w:tcPr>
            <w:tcW w:w="6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exercise multiple</w:t>
            </w:r>
          </w:p>
        </w:tc>
        <w:tc>
          <w:tcPr>
            <w:tcW w:w="80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8"/>
                <w:szCs w:val="18"/>
                <w:color w:val="auto"/>
                <w:w w:val="97"/>
              </w:rPr>
              <w:t>2.5</w:t>
            </w:r>
          </w:p>
        </w:tc>
        <w:tc>
          <w:tcPr>
            <w:tcW w:w="1060" w:type="dxa"/>
            <w:vAlign w:val="bottom"/>
            <w:gridSpan w:val="2"/>
            <w:shd w:val="clear" w:color="auto" w:fill="CCEEFF"/>
          </w:tcPr>
          <w:p>
            <w:pPr>
              <w:jc w:val="center"/>
              <w:ind w:left="88"/>
              <w:spacing w:after="0"/>
              <w:rPr>
                <w:sz w:val="20"/>
                <w:szCs w:val="20"/>
                <w:color w:val="auto"/>
              </w:rPr>
            </w:pPr>
            <w:r>
              <w:rPr>
                <w:rFonts w:ascii="Times New Roman" w:cs="Times New Roman" w:eastAsia="Times New Roman" w:hAnsi="Times New Roman"/>
                <w:sz w:val="18"/>
                <w:szCs w:val="18"/>
                <w:color w:val="auto"/>
                <w:w w:val="97"/>
              </w:rPr>
              <w:t>2.5-2.8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2.5-2.8</w:t>
            </w:r>
          </w:p>
        </w:tc>
      </w:tr>
      <w:tr>
        <w:trPr>
          <w:trHeight w:val="115"/>
        </w:trPr>
        <w:tc>
          <w:tcPr>
            <w:tcW w:w="2480" w:type="dxa"/>
            <w:vAlign w:val="bottom"/>
            <w:tcBorders>
              <w:bottom w:val="single" w:sz="8" w:color="auto"/>
            </w:tcBorders>
          </w:tcPr>
          <w:p>
            <w:pPr>
              <w:spacing w:after="0"/>
              <w:rPr>
                <w:sz w:val="10"/>
                <w:szCs w:val="10"/>
                <w:color w:val="auto"/>
              </w:rPr>
            </w:pPr>
          </w:p>
        </w:tc>
        <w:tc>
          <w:tcPr>
            <w:tcW w:w="4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r>
    </w:tbl>
    <w:p>
      <w:pPr>
        <w:spacing w:after="0" w:line="63" w:lineRule="exact"/>
        <w:rPr>
          <w:sz w:val="20"/>
          <w:szCs w:val="20"/>
          <w:color w:val="auto"/>
        </w:rPr>
      </w:pPr>
    </w:p>
    <w:p>
      <w:pPr>
        <w:ind w:left="340" w:right="20" w:hanging="332"/>
        <w:spacing w:after="0" w:line="261" w:lineRule="auto"/>
        <w:tabs>
          <w:tab w:leader="none" w:pos="3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 The risk-free interest rate for periods within the contractual life of the options is based on the US Treasury yield curve in effect at the time of the grant for a term consistent with the contractual term of the awards.</w:t>
      </w:r>
    </w:p>
    <w:p>
      <w:pPr>
        <w:ind w:left="340" w:hanging="332"/>
        <w:spacing w:after="0" w:line="250" w:lineRule="auto"/>
        <w:tabs>
          <w:tab w:leader="none" w:pos="3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 – The dividend yield is estimated based on the Company’s expected dividend policy over the expected term of the options.</w:t>
      </w:r>
    </w:p>
    <w:p>
      <w:pPr>
        <w:ind w:left="340" w:right="20" w:hanging="332"/>
        <w:spacing w:after="0" w:line="250" w:lineRule="auto"/>
        <w:tabs>
          <w:tab w:leader="none" w:pos="3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 Expected volatility is estimated based on the historical volatility of common shares of several comparable publicly-traded companies in the same industry.</w:t>
      </w:r>
    </w:p>
    <w:p>
      <w:pPr>
        <w:ind w:left="340" w:hanging="332"/>
        <w:spacing w:after="0" w:line="260" w:lineRule="auto"/>
        <w:tabs>
          <w:tab w:leader="none" w:pos="3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exercise multiple – Expected exercise multiple is estimated based on changes in expected intrinsic value of the option and the likelihood of early exercise by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3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except for number of options and per exercise option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Share-based compensation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option and restricted share unit plans (continued)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share units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Starting from 2018, the Company granted restricted Class A common shares of the Company (“Restricted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restricted share units for the year ended December 31, 2025 was stated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1940" w:type="dxa"/>
            <w:vAlign w:val="bottom"/>
            <w:gridSpan w:val="2"/>
          </w:tcPr>
          <w:p>
            <w:pPr>
              <w:jc w:val="right"/>
              <w:ind w:right="736"/>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40" w:type="dxa"/>
            <w:vAlign w:val="bottom"/>
            <w:gridSpan w:val="2"/>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2"/>
        </w:trPr>
        <w:tc>
          <w:tcPr>
            <w:tcW w:w="4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860" w:type="dxa"/>
            <w:vAlign w:val="bottom"/>
            <w:vMerge w:val="restart"/>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Restricted Share Units Granted to Employees and Directors</w:t>
            </w:r>
          </w:p>
        </w:tc>
        <w:tc>
          <w:tcPr>
            <w:tcW w:w="1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18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 Restricted</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180" w:type="dxa"/>
            <w:vAlign w:val="bottom"/>
          </w:tcPr>
          <w:p>
            <w:pPr>
              <w:spacing w:after="0"/>
              <w:rPr>
                <w:sz w:val="12"/>
                <w:szCs w:val="12"/>
                <w:color w:val="auto"/>
              </w:rPr>
            </w:pPr>
          </w:p>
        </w:tc>
        <w:tc>
          <w:tcPr>
            <w:tcW w:w="860" w:type="dxa"/>
            <w:vAlign w:val="bottom"/>
          </w:tcPr>
          <w:p>
            <w:pPr>
              <w:jc w:val="right"/>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86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 Unit</w:t>
            </w:r>
          </w:p>
        </w:tc>
        <w:tc>
          <w:tcPr>
            <w:tcW w:w="1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80" w:type="dxa"/>
            <w:vAlign w:val="bottom"/>
          </w:tcPr>
          <w:p>
            <w:pPr>
              <w:spacing w:after="0"/>
              <w:rPr>
                <w:sz w:val="15"/>
                <w:szCs w:val="15"/>
                <w:color w:val="auto"/>
              </w:rPr>
            </w:pPr>
          </w:p>
        </w:tc>
        <w:tc>
          <w:tcPr>
            <w:tcW w:w="8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940" w:type="dxa"/>
            <w:vAlign w:val="bottom"/>
            <w:gridSpan w:val="2"/>
          </w:tcPr>
          <w:p>
            <w:pPr>
              <w:jc w:val="right"/>
              <w:ind w:right="736"/>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spacing w:after="0"/>
              <w:rPr>
                <w:sz w:val="12"/>
                <w:szCs w:val="12"/>
                <w:color w:val="auto"/>
              </w:rPr>
            </w:pPr>
          </w:p>
        </w:tc>
        <w:tc>
          <w:tcPr>
            <w:tcW w:w="1040" w:type="dxa"/>
            <w:vAlign w:val="bottom"/>
            <w:gridSpan w:val="2"/>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273,654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Borders>
              <w:top w:val="single" w:sz="8" w:color="CCEEFF"/>
              <w:bottom w:val="single" w:sz="8" w:color="CCEEFF"/>
            </w:tcBorders>
            <w:vMerge w:val="restart"/>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486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273,605</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273,613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Cancelled</w:t>
            </w:r>
          </w:p>
        </w:tc>
        <w:tc>
          <w:tcPr>
            <w:tcW w:w="1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1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273,646</w:t>
            </w:r>
          </w:p>
        </w:tc>
        <w:tc>
          <w:tcPr>
            <w:tcW w:w="1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as of December 31, 2025</w:t>
            </w:r>
          </w:p>
        </w:tc>
        <w:tc>
          <w:tcPr>
            <w:tcW w:w="1100" w:type="dxa"/>
            <w:vAlign w:val="bottom"/>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line="20" w:lineRule="exact"/>
              <w:rPr>
                <w:sz w:val="1"/>
                <w:szCs w:val="1"/>
                <w:color w:val="auto"/>
              </w:rPr>
            </w:pPr>
          </w:p>
        </w:tc>
      </w:tr>
      <w:tr>
        <w:trPr>
          <w:trHeight w:val="196"/>
        </w:trPr>
        <w:tc>
          <w:tcPr>
            <w:tcW w:w="486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273,646</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weighted average grant-date fair value per restricted share unit granted for the years ended December 31, 2023, 2024 and 2025 were RMB1.74, RMB2.04 and RMB5.33 (US$0.76), respectively.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RMB837 (US$120) of unrecognized share-based compensation cost related to restricted shares units, which the Company expects to recognize over an estimated weighted-average period of 0.58 year.</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aggregate fair value of options and restricted share units vested and recognized as expenses for the years ended December 31, 2023, 2024 and 2025 were RMB11,574, RMB4,225 and RMB3,684 (US$527), respectively.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intrinsic value of options and restricted share units exercised/vested for the years ended December 31, 2023, 2024 and 2025 were RMB2,976, RMB5,796 and RMB4,734 (US$677),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compensation costs recognized for the years ended December 31, 2023, 2024 and 2025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00" w:type="dxa"/>
            <w:vAlign w:val="bottom"/>
            <w:gridSpan w:val="2"/>
          </w:tcPr>
          <w:p>
            <w:pPr>
              <w:ind w:left="58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42"/>
        </w:trPr>
        <w:tc>
          <w:tcPr>
            <w:tcW w:w="59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680" w:type="dxa"/>
            <w:vAlign w:val="bottom"/>
            <w:tcBorders>
              <w:top w:val="single" w:sz="8" w:color="auto"/>
              <w:bottom w:val="single" w:sz="8" w:color="auto"/>
            </w:tcBorders>
          </w:tcPr>
          <w:p>
            <w:pPr>
              <w:spacing w:after="0"/>
              <w:rPr>
                <w:sz w:val="12"/>
                <w:szCs w:val="12"/>
                <w:color w:val="auto"/>
              </w:rPr>
            </w:pPr>
          </w:p>
        </w:tc>
      </w:tr>
      <w:tr>
        <w:trPr>
          <w:trHeight w:val="142"/>
        </w:trPr>
        <w:tc>
          <w:tcPr>
            <w:tcW w:w="6100" w:type="dxa"/>
            <w:vAlign w:val="bottom"/>
            <w:gridSpan w:val="2"/>
          </w:tcPr>
          <w:p>
            <w:pPr>
              <w:ind w:left="58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20" w:type="dxa"/>
            <w:vAlign w:val="bottom"/>
            <w:gridSpan w:val="2"/>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98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40" w:type="dxa"/>
            <w:vAlign w:val="bottom"/>
          </w:tcPr>
          <w:p>
            <w:pPr>
              <w:spacing w:after="0"/>
              <w:rPr>
                <w:sz w:val="12"/>
                <w:szCs w:val="12"/>
                <w:color w:val="auto"/>
              </w:rPr>
            </w:pPr>
          </w:p>
        </w:tc>
        <w:tc>
          <w:tcPr>
            <w:tcW w:w="3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6"/>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10"/>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0"/>
        </w:trPr>
        <w:tc>
          <w:tcPr>
            <w:tcW w:w="5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858"/>
        </w:trPr>
        <w:tc>
          <w:tcPr>
            <w:tcW w:w="6100" w:type="dxa"/>
            <w:vAlign w:val="bottom"/>
            <w:gridSpan w:val="2"/>
          </w:tcPr>
          <w:p>
            <w:pPr>
              <w:ind w:left="4800"/>
              <w:spacing w:after="0"/>
              <w:rPr>
                <w:sz w:val="20"/>
                <w:szCs w:val="20"/>
                <w:color w:val="auto"/>
              </w:rPr>
            </w:pPr>
            <w:r>
              <w:rPr>
                <w:rFonts w:ascii="Times New Roman" w:cs="Times New Roman" w:eastAsia="Times New Roman" w:hAnsi="Times New Roman"/>
                <w:sz w:val="18"/>
                <w:szCs w:val="18"/>
                <w:color w:val="auto"/>
              </w:rPr>
              <w:t>F-42</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60"/>
        </w:trPr>
        <w:tc>
          <w:tcPr>
            <w:tcW w:w="5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Cayman Islands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current tax laws of Cayman Islands, the Company and its subsidiaries are not subject to tax on income or capital gains.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Besides, upon payment of dividends by the Company to its shareholders, no Cayman Islands withholding tax will be imposed.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British Virgin Islands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current laws of the British Virgin Islands (“BVI”), the Company’s BVI incorporated subsidiaries are not subject to tax on income or capital gains arising in BVI. In addition, upon payments of dividends by this entity to its shareholders, no BVI withholding tax will be imposed.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Singapore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Singapore tax laws, the subsidiary in Singapore is subject to 17% income tax rate on any taxable income accruing in or derived from Singapore, or received in Singapore from outside Singapore.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Malaysia</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Malaysia tax laws, the subsidiary in Malaysia is subject to 24% income tax rate on its chargeable income accruing in or derived from Malaysia. Certain of the subsidiary in Malaysia is subject to partial income tax exemptions if certain conditions are met.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Indonesia</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current laws of Indonesia, the Company’s subsidiary incorporated in Indonesia is subject to 22% income tax on its taxable income generated from operations in Indonesia.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Hong Kong tax laws, the subsidiaries in Hong Kong are subject to the Hong Kong profits tax rate at 16.5% and it may be exempted from income tax on its foreign-derived income and there are no withholding taxes in Hong Kong on remittance of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China</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Effective from January 1, 2008, the PRC’s statutory, Enterprise Income Tax (“EIT”) rate is 25%. In accordance with the implementation rules of EIT Law, a qualified “High and New Technology Enterprise” (“HNTE”) is eligible for a preferential tax rate of 15%. The HNTE certificate is effective for a period of three years. An entity must file required supporting documents with the tax authority and ensure fulfillment of the relevant HNTE criteria before using the preferential rate. An entity could re-apply for the HNTE certificate when the prior certificate expires. The HNTE certificate of the VIE was obtained in December 2019 and expired in December 2021. The VIE re-applied and obtained the HNTE certificate in December 2022 and again in December 2025, each with a validity period of three years. It was entitled to the preferential rate of 15% for 2023, 2024 and 2025. In early 2021, the WFOE was recognized as an HNTE and was eligible for 15% preferential tax rate from 2020 to 2022. The WFOE re-applied and obtained the certificate of high and new technology enterprise with a validity period of three years starting December 2023. It was entitled to the preferential rate of 15% for 2023, 2024 and 2025. SendCloud was classified as “small and micro businesses” in 2023 and 2024, and obtained the HNTE certificate with a validity period of three years starting from December 2024 onwards. SendCloud enjoyed a preferential tax rate of 20% with a discount to taxable income for 2023 and 2024, and was entitled to the preferential rate of 15% for 2025. Ifaxin (Hubei) Cloud Computing Co. Ltd. (“Ifaxin”) was classified as “small and micro businesses” in 2023, 2024 and 2025. Ifaxin enjoyed a preferential tax rate of 20% with a discount to taxable income for 2023, 2024 and 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(loss)/income before income taxes consists of:</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00" w:type="dxa"/>
            <w:vAlign w:val="bottom"/>
            <w:gridSpan w:val="2"/>
          </w:tcPr>
          <w:p>
            <w:pPr>
              <w:ind w:left="58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42"/>
        </w:trPr>
        <w:tc>
          <w:tcPr>
            <w:tcW w:w="59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4"/>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top w:val="single" w:sz="8" w:color="auto"/>
              <w:bottom w:val="single" w:sz="8" w:color="auto"/>
            </w:tcBorders>
          </w:tcPr>
          <w:p>
            <w:pPr>
              <w:spacing w:after="0"/>
              <w:rPr>
                <w:sz w:val="12"/>
                <w:szCs w:val="12"/>
                <w:color w:val="auto"/>
              </w:rPr>
            </w:pPr>
          </w:p>
        </w:tc>
      </w:tr>
      <w:tr>
        <w:trPr>
          <w:trHeight w:val="142"/>
        </w:trPr>
        <w:tc>
          <w:tcPr>
            <w:tcW w:w="6100" w:type="dxa"/>
            <w:vAlign w:val="bottom"/>
            <w:gridSpan w:val="2"/>
          </w:tcPr>
          <w:p>
            <w:pPr>
              <w:ind w:left="58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980" w:type="dxa"/>
            <w:vAlign w:val="bottom"/>
            <w:gridSpan w:val="2"/>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40" w:type="dxa"/>
            <w:vAlign w:val="bottom"/>
          </w:tcPr>
          <w:p>
            <w:pPr>
              <w:spacing w:after="0"/>
              <w:rPr>
                <w:sz w:val="12"/>
                <w:szCs w:val="12"/>
                <w:color w:val="auto"/>
              </w:rPr>
            </w:pPr>
          </w:p>
        </w:tc>
        <w:tc>
          <w:tcPr>
            <w:tcW w:w="1020" w:type="dxa"/>
            <w:vAlign w:val="bottom"/>
            <w:gridSpan w:val="3"/>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3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6"/>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(16,192)</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(7,466)</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(5,956)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r>
      <w:tr>
        <w:trPr>
          <w:trHeight w:val="216"/>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British Virgin Islands</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(1,982)</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(2,699)</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16"/>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Malaysia</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16"/>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Indonesia</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(46,476)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r>
      <w:tr>
        <w:trPr>
          <w:trHeight w:val="210"/>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(loss)/income before income taxes</w:t>
            </w: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(64,554)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0"/>
        </w:trPr>
        <w:tc>
          <w:tcPr>
            <w:tcW w:w="5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income tax benefit amounted to RMB394 (US$56) in Chinese mainland, and income tax expense amounted to RMB467 (US$66) in jurisdictions outside Chinese mainland.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 consist of:</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00" w:type="dxa"/>
            <w:vAlign w:val="bottom"/>
            <w:gridSpan w:val="2"/>
          </w:tcPr>
          <w:p>
            <w:pPr>
              <w:ind w:left="58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59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4"/>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6100" w:type="dxa"/>
            <w:vAlign w:val="bottom"/>
            <w:gridSpan w:val="2"/>
          </w:tcPr>
          <w:p>
            <w:pPr>
              <w:ind w:left="58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2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020" w:type="dxa"/>
            <w:vAlign w:val="bottom"/>
            <w:gridSpan w:val="3"/>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3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18"/>
                <w:szCs w:val="18"/>
                <w:color w:val="auto"/>
              </w:rPr>
            </w:pPr>
          </w:p>
        </w:tc>
      </w:tr>
      <w:tr>
        <w:trPr>
          <w:trHeight w:val="216"/>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benefit/(expense)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18"/>
                <w:szCs w:val="18"/>
                <w:color w:val="auto"/>
              </w:rPr>
            </w:pPr>
          </w:p>
        </w:tc>
      </w:tr>
      <w:tr>
        <w:trPr>
          <w:trHeight w:val="210"/>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income tax benefit/(expense)</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58"/>
        </w:trPr>
        <w:tc>
          <w:tcPr>
            <w:tcW w:w="6100" w:type="dxa"/>
            <w:vAlign w:val="bottom"/>
            <w:gridSpan w:val="2"/>
          </w:tcPr>
          <w:p>
            <w:pPr>
              <w:ind w:left="4800"/>
              <w:spacing w:after="0"/>
              <w:rPr>
                <w:sz w:val="20"/>
                <w:szCs w:val="20"/>
                <w:color w:val="auto"/>
              </w:rPr>
            </w:pPr>
            <w:r>
              <w:rPr>
                <w:rFonts w:ascii="Times New Roman" w:cs="Times New Roman" w:eastAsia="Times New Roman" w:hAnsi="Times New Roman"/>
                <w:sz w:val="18"/>
                <w:szCs w:val="18"/>
                <w:color w:val="auto"/>
              </w:rPr>
              <w:t>F-44</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5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except for percentages)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between expenses of income taxes</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Reconciliation between the expense of income taxes computed by applying the statutory tax rate to (loss)/income before income taxes and the actual provision for income taxes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20" w:type="dxa"/>
            <w:vAlign w:val="bottom"/>
            <w:gridSpan w:val="3"/>
          </w:tcPr>
          <w:p>
            <w:pPr>
              <w:ind w:left="6440"/>
              <w:spacing w:after="0"/>
              <w:rPr>
                <w:sz w:val="20"/>
                <w:szCs w:val="20"/>
                <w:color w:val="auto"/>
              </w:rPr>
            </w:pPr>
            <w:r>
              <w:rPr>
                <w:rFonts w:ascii="Times New Roman" w:cs="Times New Roman" w:eastAsia="Times New Roman" w:hAnsi="Times New Roman"/>
                <w:sz w:val="14"/>
                <w:szCs w:val="14"/>
                <w:color w:val="auto"/>
              </w:rPr>
              <w:t>​​​</w:t>
            </w:r>
          </w:p>
        </w:tc>
        <w:tc>
          <w:tcPr>
            <w:tcW w:w="3140" w:type="dxa"/>
            <w:vAlign w:val="bottom"/>
            <w:gridSpan w:val="9"/>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4"/>
          </w:tcPr>
          <w:p>
            <w:pPr>
              <w:jc w:val="center"/>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jc w:val="right"/>
              <w:ind w:right="51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(64,554)</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 expense computed at PRC statutory rate (25%)</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(16,139)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tax rate differential</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Preferential tax rate</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10,613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items tax rate differential</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Research and development super-deduction</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(26,393)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tax expenses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income</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Recognition of prior year tax loss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income</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28,842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(benefit)/expense</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20" w:type="dxa"/>
            <w:vAlign w:val="bottom"/>
            <w:gridSpan w:val="3"/>
          </w:tcPr>
          <w:p>
            <w:pPr>
              <w:ind w:left="6560"/>
              <w:spacing w:after="0"/>
              <w:rPr>
                <w:sz w:val="20"/>
                <w:szCs w:val="20"/>
                <w:color w:val="auto"/>
              </w:rPr>
            </w:pPr>
            <w:r>
              <w:rPr>
                <w:rFonts w:ascii="Times New Roman" w:cs="Times New Roman" w:eastAsia="Times New Roman" w:hAnsi="Times New Roman"/>
                <w:sz w:val="14"/>
                <w:szCs w:val="14"/>
                <w:color w:val="auto"/>
              </w:rPr>
              <w:t>​​​</w:t>
            </w:r>
          </w:p>
        </w:tc>
        <w:tc>
          <w:tcPr>
            <w:tcW w:w="3140" w:type="dxa"/>
            <w:vAlign w:val="bottom"/>
            <w:gridSpan w:val="9"/>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3"/>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jc w:val="right"/>
              <w:ind w:right="75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20" w:type="dxa"/>
            <w:vAlign w:val="bottom"/>
            <w:tcBorders>
              <w:top w:val="single" w:sz="8" w:color="auto"/>
            </w:tcBorders>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 computed at PRC statutory rate (25%)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Foreign Tax Effects</w:t>
            </w:r>
          </w:p>
        </w:tc>
        <w:tc>
          <w:tcPr>
            <w:tcW w:w="780" w:type="dxa"/>
            <w:vAlign w:val="bottom"/>
          </w:tcPr>
          <w:p>
            <w:pPr>
              <w:spacing w:after="0"/>
              <w:rPr>
                <w:sz w:val="18"/>
                <w:szCs w:val="18"/>
                <w:color w:val="auto"/>
              </w:rPr>
            </w:pPr>
          </w:p>
        </w:tc>
        <w:tc>
          <w:tcPr>
            <w:tcW w:w="54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Cayman</w:t>
            </w: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Statutory tax rate difference between Cayman and PRC</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Other foreign jurisdictions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Changes in Valuation Allowances</w:t>
            </w:r>
          </w:p>
        </w:tc>
        <w:tc>
          <w:tcPr>
            <w:tcW w:w="10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(7,316)</w:t>
            </w:r>
          </w:p>
        </w:tc>
        <w:tc>
          <w:tcPr>
            <w:tcW w:w="320" w:type="dxa"/>
            <w:vAlign w:val="bottom"/>
          </w:tcPr>
          <w:p>
            <w:pPr>
              <w:spacing w:after="0"/>
              <w:rPr>
                <w:sz w:val="18"/>
                <w:szCs w:val="18"/>
                <w:color w:val="auto"/>
              </w:rPr>
            </w:pPr>
          </w:p>
        </w:tc>
        <w:tc>
          <w:tcPr>
            <w:tcW w:w="820" w:type="dxa"/>
            <w:vAlign w:val="bottom"/>
            <w:gridSpan w:val="3"/>
          </w:tcPr>
          <w:p>
            <w:pPr>
              <w:jc w:val="right"/>
              <w:ind w:right="114"/>
              <w:spacing w:after="0"/>
              <w:rPr>
                <w:sz w:val="20"/>
                <w:szCs w:val="20"/>
                <w:color w:val="auto"/>
              </w:rPr>
            </w:pPr>
            <w:r>
              <w:rPr>
                <w:rFonts w:ascii="Times New Roman" w:cs="Times New Roman" w:eastAsia="Times New Roman" w:hAnsi="Times New Roman"/>
                <w:sz w:val="18"/>
                <w:szCs w:val="18"/>
                <w:color w:val="auto"/>
              </w:rPr>
              <w:t>(1,046)</w:t>
            </w: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Nontaxable or Nondeductible Items</w:t>
            </w: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Meals and entertainment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Adjustments</w:t>
            </w:r>
          </w:p>
        </w:tc>
        <w:tc>
          <w:tcPr>
            <w:tcW w:w="780" w:type="dxa"/>
            <w:vAlign w:val="bottom"/>
          </w:tcPr>
          <w:p>
            <w:pPr>
              <w:spacing w:after="0"/>
              <w:rPr>
                <w:sz w:val="18"/>
                <w:szCs w:val="18"/>
                <w:color w:val="auto"/>
              </w:rPr>
            </w:pPr>
          </w:p>
        </w:tc>
        <w:tc>
          <w:tcPr>
            <w:tcW w:w="54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 of period adjustment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Research and development super-deduction</w:t>
            </w:r>
          </w:p>
        </w:tc>
        <w:tc>
          <w:tcPr>
            <w:tcW w:w="10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(1,760)</w:t>
            </w:r>
          </w:p>
        </w:tc>
        <w:tc>
          <w:tcPr>
            <w:tcW w:w="320" w:type="dxa"/>
            <w:vAlign w:val="bottom"/>
          </w:tcPr>
          <w:p>
            <w:pPr>
              <w:spacing w:after="0"/>
              <w:rPr>
                <w:sz w:val="18"/>
                <w:szCs w:val="18"/>
                <w:color w:val="auto"/>
              </w:rPr>
            </w:pPr>
          </w:p>
        </w:tc>
        <w:tc>
          <w:tcPr>
            <w:tcW w:w="820" w:type="dxa"/>
            <w:vAlign w:val="bottom"/>
            <w:gridSpan w:val="3"/>
          </w:tcPr>
          <w:p>
            <w:pPr>
              <w:jc w:val="right"/>
              <w:ind w:right="114"/>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Preferential tax rate</w:t>
            </w:r>
          </w:p>
        </w:tc>
        <w:tc>
          <w:tcPr>
            <w:tcW w:w="10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(1,230)</w:t>
            </w:r>
          </w:p>
        </w:tc>
        <w:tc>
          <w:tcPr>
            <w:tcW w:w="3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Adjustment for tax return amendments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Others</w:t>
            </w:r>
          </w:p>
        </w:tc>
        <w:tc>
          <w:tcPr>
            <w:tcW w:w="10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(384)</w:t>
            </w:r>
          </w:p>
        </w:tc>
        <w:tc>
          <w:tcPr>
            <w:tcW w:w="3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w:t>
            </w:r>
          </w:p>
        </w:tc>
        <w:tc>
          <w:tcPr>
            <w:tcW w:w="2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 (continued)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tax assets and liabilities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the deferred tax balances as of December 31, 2024 and 2025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760" w:type="dxa"/>
            <w:vAlign w:val="bottom"/>
            <w:gridSpan w:val="2"/>
          </w:tcPr>
          <w:p>
            <w:pPr>
              <w:ind w:left="65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vMerge w:val="restart"/>
          </w:tcPr>
          <w:p>
            <w:pPr>
              <w:ind w:left="6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top w:val="single" w:sz="8" w:color="auto"/>
              <w:bottom w:val="single" w:sz="8" w:color="auto"/>
            </w:tcBorders>
            <w:gridSpan w:val="4"/>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980" w:type="dxa"/>
            <w:vAlign w:val="bottom"/>
            <w:gridSpan w:val="2"/>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6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loss from equity method investments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 forward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272,542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254,635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grants related to assets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liabilities</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asset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(279,902)</w:t>
            </w: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(273,251)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depreciation</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(4,057)</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arising from acquisition</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(3,340)</w:t>
            </w: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(7,499)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1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(3,059)</w:t>
            </w:r>
          </w:p>
        </w:tc>
        <w:tc>
          <w:tcPr>
            <w:tcW w:w="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(1,883)</w:t>
            </w:r>
          </w:p>
        </w:tc>
        <w:tc>
          <w:tcPr>
            <w:tcW w:w="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(269)</w:t>
            </w:r>
          </w:p>
        </w:tc>
        <w:tc>
          <w:tcPr>
            <w:tcW w:w="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operates through its WFOE, the VIE and the subsidiaries of the VIE, and evaluates the potential realization of deferred tax assets on an entity basis. The Company recorded valuation allowance against deferred tax assets of those entities that were in a three-year cumulative financial loss or had incurred losses since inception and are not forecasting profits in the near future as of December 31, 2024 and 2025. In making such determination, the Company also evaluated a variety of factors including the Company’s operating history, accumulated deficit, existence of taxable temporary differences and reversal periods.</w:t>
      </w:r>
    </w:p>
    <w:p>
      <w:pPr>
        <w:spacing w:after="0" w:line="1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had deferred tax assets related to net operating loss carry forwards of RMB272,542 and RMB254,635 (US$36,412) mainly from its WFOE, the VIE and the subsidiaries of the VIE in China as of December 31, 2024 and 2025, which can be carried forward to offset taxable income. The net operating losses of its WFOE, the VIE and the subsidiaries of the VIE will expire in years 2026 to 2035 if not utilized for the subsidiaries in China. For the subsidiary in Hong Kong, the net operating losses are indefinite to be utilized.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 (continued)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changes in the balance of unrecognized tax benefits for the years ended December 31, 2023, 2024 and 2025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16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3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2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Increase of unrecognized tax benefits taken in prior years</w:t>
            </w:r>
          </w:p>
        </w:tc>
        <w:tc>
          <w:tcPr>
            <w:tcW w:w="1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40,375</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5,774</w:t>
            </w: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40,492</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2024 and 2025, the Company had recorded unrecognized tax benefits of RMB117, RMB117 and RMB40,492 (US$5,791), of which nil, nil and RMB40,375 (US$5,774), respectively, are presented on a net basis against the deferred tax assets related to tax loss carry forwards on the consolidated balance sheets. As of December 31, 2023, 2024 and 2025, there were RMB117, RMB117 and RMB117(US$17) of unrecognized tax benefits that, if ultimately recognized, will impact the effective tax rate.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did not recognize significant interest and penalties accrued related to unrecognized tax benefits in income tax expenses as of December 31, 2023, 2024 and 2025.</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the tax years ended December 31, 2020 through period ended December 31, 2025 remain open to examination by the PRC tax authorities.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Other non-current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2000" w:type="dxa"/>
            <w:vAlign w:val="bottom"/>
            <w:vMerge w:val="restart"/>
          </w:tcPr>
          <w:p>
            <w:pPr>
              <w:ind w:left="18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2"/>
                <w:szCs w:val="12"/>
                <w:color w:val="auto"/>
              </w:rPr>
            </w:pP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8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2000" w:type="dxa"/>
            <w:vAlign w:val="bottom"/>
            <w:vMerge w:val="continue"/>
          </w:tcPr>
          <w:p>
            <w:pPr>
              <w:spacing w:after="0"/>
              <w:rPr>
                <w:sz w:val="12"/>
                <w:szCs w:val="12"/>
                <w:color w:val="auto"/>
              </w:rPr>
            </w:pPr>
          </w:p>
        </w:tc>
        <w:tc>
          <w:tcPr>
            <w:tcW w:w="660" w:type="dxa"/>
            <w:vAlign w:val="bottom"/>
          </w:tcPr>
          <w:p>
            <w:pPr>
              <w:jc w:val="center"/>
              <w:ind w:left="2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4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98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46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equity method investee</w:t>
            </w:r>
          </w:p>
        </w:tc>
        <w:tc>
          <w:tcPr>
            <w:tcW w:w="200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450</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Others</w:t>
            </w:r>
          </w:p>
        </w:tc>
        <w:tc>
          <w:tcPr>
            <w:tcW w:w="20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117</w:t>
            </w:r>
          </w:p>
        </w:tc>
        <w:tc>
          <w:tcPr>
            <w:tcW w:w="2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non-current liabilities</w:t>
            </w:r>
          </w:p>
        </w:tc>
        <w:tc>
          <w:tcPr>
            <w:tcW w:w="20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567</w:t>
            </w: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commitments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 did not have any non-cancellable purchase commitments.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except for number of shares and per share data)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Share capital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had repurchased under the 2022 Repurchase Plan and 2023 Repurchase Plan an aggregate of 127,987 ADSs, representing 1,706,493 Class A common shares.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had repurchased under the 2023 Repurchase Plan an aggregate of 91,166 ADSs, representing 1,215,547 Class A common shares.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had repurchased under the 2025 Repurchase Plan an aggregate of 120,825 ADSs, representing 1,611,000 Class A common shares. As of December 31, 2025, the Company has no plan for cancellation of these repurchased shares. These shares were recorded at their purchase price on the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December 31, 2024, there were 63,041,500 and 17,000,189 Class A and Class B common shares outstanding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December 31, 2025, there were 62,971,166 and 17,000,189 Class A and Class B common shares outstanding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Every three of ADSs represent forty Class A common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(loss)/earnings per share is calculated as follows: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Numerator:</w:t>
      </w:r>
    </w:p>
    <w:p>
      <w:pPr>
        <w:spacing w:after="0" w:line="6" w:lineRule="exact"/>
        <w:rPr>
          <w:sz w:val="20"/>
          <w:szCs w:val="20"/>
          <w:color w:val="auto"/>
        </w:rPr>
      </w:pPr>
    </w:p>
    <w:p>
      <w:pPr>
        <w:ind w:left="140" w:right="240" w:hanging="129"/>
        <w:spacing w:after="0" w:line="239" w:lineRule="auto"/>
        <w:rPr>
          <w:sz w:val="20"/>
          <w:szCs w:val="20"/>
          <w:color w:val="auto"/>
        </w:rPr>
      </w:pPr>
      <w:r>
        <w:rPr>
          <w:rFonts w:ascii="Times New Roman" w:cs="Times New Roman" w:eastAsia="Times New Roman" w:hAnsi="Times New Roman"/>
          <w:sz w:val="14"/>
          <w:szCs w:val="14"/>
          <w:color w:val="auto"/>
        </w:rPr>
        <w:t>Net (loss)/income attributable to common shareholders</w:t>
      </w:r>
    </w:p>
    <w:p>
      <w:pPr>
        <w:spacing w:after="0" w:line="226" w:lineRule="auto"/>
        <w:rPr>
          <w:sz w:val="20"/>
          <w:szCs w:val="20"/>
          <w:color w:val="auto"/>
        </w:rPr>
      </w:pPr>
      <w:r>
        <w:rPr>
          <w:rFonts w:ascii="Times New Roman" w:cs="Times New Roman" w:eastAsia="Times New Roman" w:hAnsi="Times New Roman"/>
          <w:sz w:val="14"/>
          <w:szCs w:val="14"/>
          <w:b w:val="1"/>
          <w:bCs w:val="1"/>
          <w:color w:val="auto"/>
        </w:rPr>
        <w:t>Denominator:</w:t>
      </w:r>
    </w:p>
    <w:p>
      <w:pPr>
        <w:ind w:left="140" w:hanging="129"/>
        <w:spacing w:after="0" w:line="233" w:lineRule="auto"/>
        <w:rPr>
          <w:sz w:val="20"/>
          <w:szCs w:val="20"/>
          <w:color w:val="auto"/>
        </w:rPr>
      </w:pPr>
      <w:r>
        <w:rPr>
          <w:rFonts w:ascii="Times New Roman" w:cs="Times New Roman" w:eastAsia="Times New Roman" w:hAnsi="Times New Roman"/>
          <w:sz w:val="14"/>
          <w:szCs w:val="14"/>
          <w:color w:val="auto"/>
        </w:rPr>
        <w:t>Weighted average number of shares used in calculating basic and diluted (loss)/earnings per share</w:t>
      </w:r>
    </w:p>
    <w:p>
      <w:pPr>
        <w:spacing w:after="0"/>
        <w:rPr>
          <w:sz w:val="20"/>
          <w:szCs w:val="20"/>
          <w:color w:val="auto"/>
        </w:rPr>
      </w:pPr>
      <w:r>
        <w:rPr>
          <w:rFonts w:ascii="Times New Roman" w:cs="Times New Roman" w:eastAsia="Times New Roman" w:hAnsi="Times New Roman"/>
          <w:sz w:val="14"/>
          <w:szCs w:val="14"/>
          <w:color w:val="auto"/>
        </w:rPr>
        <w:t>Basic and diluted (loss)/earnings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8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   For the year ended</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5"/>
                <w:szCs w:val="15"/>
                <w:color w:val="auto"/>
              </w:rPr>
            </w:pPr>
          </w:p>
        </w:tc>
        <w:tc>
          <w:tcPr>
            <w:tcW w:w="16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3460" w:type="dxa"/>
            <w:vAlign w:val="bottom"/>
            <w:gridSpan w:val="7"/>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Borders>
              <w:top w:val="single" w:sz="8" w:color="auto"/>
              <w:bottom w:val="single" w:sz="8" w:color="auto"/>
            </w:tcBorders>
            <w:gridSpan w:val="3"/>
          </w:tcPr>
          <w:p>
            <w:pPr>
              <w:jc w:val="right"/>
              <w:ind w:right="508"/>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60" w:type="dxa"/>
            <w:vAlign w:val="bottom"/>
            <w:tcBorders>
              <w:top w:val="single" w:sz="8" w:color="auto"/>
            </w:tcBorders>
          </w:tcPr>
          <w:p>
            <w:pPr>
              <w:spacing w:after="0"/>
              <w:rPr>
                <w:sz w:val="12"/>
                <w:szCs w:val="12"/>
                <w:color w:val="auto"/>
              </w:rPr>
            </w:pPr>
          </w:p>
        </w:tc>
        <w:tc>
          <w:tcPr>
            <w:tcW w:w="1660" w:type="dxa"/>
            <w:vAlign w:val="bottom"/>
            <w:tcBorders>
              <w:top w:val="single" w:sz="8" w:color="auto"/>
              <w:bottom w:val="single" w:sz="8" w:color="auto"/>
            </w:tcBorders>
            <w:gridSpan w:val="3"/>
          </w:tcPr>
          <w:p>
            <w:pPr>
              <w:jc w:val="right"/>
              <w:ind w:right="528"/>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184"/>
        </w:trPr>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RMB</w:t>
            </w:r>
          </w:p>
        </w:tc>
        <w:tc>
          <w:tcPr>
            <w:tcW w:w="2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RMB</w:t>
            </w:r>
          </w:p>
        </w:tc>
        <w:tc>
          <w:tcPr>
            <w:tcW w:w="40" w:type="dxa"/>
            <w:vAlign w:val="bottom"/>
          </w:tcPr>
          <w:p>
            <w:pPr>
              <w:spacing w:after="0"/>
              <w:rPr>
                <w:sz w:val="15"/>
                <w:szCs w:val="15"/>
                <w:color w:val="auto"/>
              </w:rPr>
            </w:pPr>
          </w:p>
        </w:tc>
        <w:tc>
          <w:tcPr>
            <w:tcW w:w="8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RMB</w:t>
            </w:r>
          </w:p>
        </w:tc>
        <w:tc>
          <w:tcPr>
            <w:tcW w:w="4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RMB</w:t>
            </w:r>
          </w:p>
        </w:tc>
        <w:tc>
          <w:tcPr>
            <w:tcW w:w="9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US$</w:t>
            </w:r>
          </w:p>
        </w:tc>
        <w:tc>
          <w:tcPr>
            <w:tcW w:w="9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RMB</w:t>
            </w:r>
          </w:p>
        </w:tc>
        <w:tc>
          <w:tcPr>
            <w:tcW w:w="9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   US$</w:t>
            </w:r>
          </w:p>
        </w:tc>
        <w:tc>
          <w:tcPr>
            <w:tcW w:w="0" w:type="dxa"/>
            <w:vAlign w:val="bottom"/>
          </w:tcPr>
          <w:p>
            <w:pPr>
              <w:spacing w:after="0"/>
              <w:rPr>
                <w:sz w:val="1"/>
                <w:szCs w:val="1"/>
                <w:color w:val="auto"/>
              </w:rPr>
            </w:pPr>
          </w:p>
        </w:tc>
      </w:tr>
      <w:tr>
        <w:trPr>
          <w:trHeight w:val="390"/>
        </w:trPr>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(48,851)</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(13,247)</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(5,545)</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(1,501)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62,688,838</w:t>
            </w:r>
          </w:p>
        </w:tc>
        <w:tc>
          <w:tcPr>
            <w:tcW w:w="4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17,000,189</w:t>
            </w:r>
          </w:p>
        </w:tc>
        <w:tc>
          <w:tcPr>
            <w:tcW w:w="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62,802,678</w:t>
            </w:r>
          </w:p>
        </w:tc>
        <w:tc>
          <w:tcPr>
            <w:tcW w:w="4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17,000,189</w:t>
            </w:r>
          </w:p>
        </w:tc>
        <w:tc>
          <w:tcPr>
            <w:tcW w:w="4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63,357,628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63,357,628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17,000,189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17,000,189</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(0.78)</w:t>
            </w:r>
          </w:p>
        </w:tc>
        <w:tc>
          <w:tcPr>
            <w:tcW w:w="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(0.78)</w:t>
            </w:r>
          </w:p>
        </w:tc>
        <w:tc>
          <w:tcPr>
            <w:tcW w:w="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60" w:type="dxa"/>
            <w:vAlign w:val="bottom"/>
            <w:vMerge w:val="continue"/>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vMerge w:val="continue"/>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40" w:type="dxa"/>
            <w:vAlign w:val="bottom"/>
            <w:vMerge w:val="continue"/>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-1784350</wp:posOffset>
            </wp:positionH>
            <wp:positionV relativeFrom="paragraph">
              <wp:posOffset>-813435</wp:posOffset>
            </wp:positionV>
            <wp:extent cx="6292215" cy="939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8">
                      <a:extLst>
                        <a:ext uri="{28A0092B-C50C-407E-A947-70E740481C1C}"/>
                      </a:extLst>
                    </a:blip>
                    <a:srcRect/>
                    <a:stretch>
                      <a:fillRect/>
                    </a:stretch>
                  </pic:blipFill>
                  <pic:spPr bwMode="auto">
                    <a:xfrm>
                      <a:off x="0" y="0"/>
                      <a:ext cx="6292215" cy="93980"/>
                    </a:xfrm>
                    <a:prstGeom prst="rect">
                      <a:avLst/>
                    </a:prstGeom>
                    <a:noFill/>
                  </pic:spPr>
                </pic:pic>
              </a:graphicData>
            </a:graphic>
          </wp:anchor>
        </w:drawing>
        <w:drawing>
          <wp:anchor simplePos="0" relativeHeight="251657728" behindDoc="1" locked="0" layoutInCell="0" allowOverlap="1">
            <wp:simplePos x="0" y="0"/>
            <wp:positionH relativeFrom="column">
              <wp:posOffset>-1784350</wp:posOffset>
            </wp:positionH>
            <wp:positionV relativeFrom="paragraph">
              <wp:posOffset>-530225</wp:posOffset>
            </wp:positionV>
            <wp:extent cx="6292215" cy="1111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9">
                      <a:extLst>
                        <a:ext uri="{28A0092B-C50C-407E-A947-70E740481C1C}"/>
                      </a:extLst>
                    </a:blip>
                    <a:srcRect/>
                    <a:stretch>
                      <a:fillRect/>
                    </a:stretch>
                  </pic:blipFill>
                  <pic:spPr bwMode="auto">
                    <a:xfrm>
                      <a:off x="0" y="0"/>
                      <a:ext cx="6292215" cy="111125"/>
                    </a:xfrm>
                    <a:prstGeom prst="rect">
                      <a:avLst/>
                    </a:prstGeom>
                    <a:noFill/>
                  </pic:spPr>
                </pic:pic>
              </a:graphicData>
            </a:graphic>
          </wp:anchor>
        </w:drawing>
        <w:drawing>
          <wp:anchor simplePos="0" relativeHeight="251657728" behindDoc="1" locked="0" layoutInCell="0" allowOverlap="1">
            <wp:simplePos x="0" y="0"/>
            <wp:positionH relativeFrom="column">
              <wp:posOffset>-1784350</wp:posOffset>
            </wp:positionH>
            <wp:positionV relativeFrom="paragraph">
              <wp:posOffset>-135890</wp:posOffset>
            </wp:positionV>
            <wp:extent cx="6292215" cy="1111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0">
                      <a:extLst>
                        <a:ext uri="{28A0092B-C50C-407E-A947-70E740481C1C}"/>
                      </a:extLst>
                    </a:blip>
                    <a:srcRect/>
                    <a:stretch>
                      <a:fillRect/>
                    </a:stretch>
                  </pic:blipFill>
                  <pic:spPr bwMode="auto">
                    <a:xfrm>
                      <a:off x="0" y="0"/>
                      <a:ext cx="6292215" cy="111125"/>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2660" w:space="160"/>
            <w:col w:w="7100"/>
          </w:cols>
          <w:pgMar w:left="980" w:top="513" w:right="999" w:bottom="1440" w:gutter="0" w:footer="0" w:header="0"/>
          <w:type w:val="continuous"/>
        </w:sect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2024 and 2025, the two-class method is applicable because the Company has Class A and Class B common shares outstanding, and both classes have contractual rights with regards to dividends and distributions upon liquidation of the Company.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effect of certain outstanding share options and restricted share units were excluded accordingly from the computation of diluted (loss)/earnings per share for the years ended December 31, 2023, 2024 and 2025 as their effects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major related parties and their relationships with the Company: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related parties</w:t>
            </w:r>
          </w:p>
        </w:tc>
        <w:tc>
          <w:tcPr>
            <w:tcW w:w="4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​​​Relationship</w:t>
            </w:r>
          </w:p>
        </w:tc>
      </w:tr>
      <w:tr>
        <w:trPr>
          <w:trHeight w:val="210"/>
        </w:trPr>
        <w:tc>
          <w:tcPr>
            <w:tcW w:w="5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Weidong Luo</w:t>
            </w:r>
          </w:p>
        </w:tc>
        <w:tc>
          <w:tcPr>
            <w:tcW w:w="140" w:type="dxa"/>
            <w:vAlign w:val="bottom"/>
            <w:tcBorders>
              <w:top w:val="single" w:sz="8" w:color="CCEEFF"/>
            </w:tcBorders>
            <w:shd w:val="clear" w:color="auto" w:fill="CCEEFF"/>
          </w:tcPr>
          <w:p>
            <w:pPr>
              <w:spacing w:after="0"/>
              <w:rPr>
                <w:sz w:val="18"/>
                <w:szCs w:val="18"/>
                <w:color w:val="auto"/>
              </w:rPr>
            </w:pPr>
          </w:p>
        </w:tc>
        <w:tc>
          <w:tcPr>
            <w:tcW w:w="4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Founder, Chief Executive Officer</w:t>
            </w:r>
          </w:p>
        </w:tc>
      </w:t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Guangzhou Tianlang Network Technology Co., Ltd.</w:t>
            </w:r>
          </w:p>
        </w:tc>
        <w:tc>
          <w:tcPr>
            <w:tcW w:w="4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Company that is significantly influenced by Weidong Luo</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related party balances as of December 31, 2024 and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related party transactions for the years ended December 31, 2023, 2024 and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Revenues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assesses revenues based upon the nature or type of services it provides and the following table presents disaggregated revenue information: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80" w:type="dxa"/>
            <w:vAlign w:val="bottom"/>
            <w:gridSpan w:val="2"/>
          </w:tcPr>
          <w:p>
            <w:pPr>
              <w:ind w:left="58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42"/>
        </w:trPr>
        <w:tc>
          <w:tcPr>
            <w:tcW w:w="59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680" w:type="dxa"/>
            <w:vAlign w:val="bottom"/>
            <w:tcBorders>
              <w:top w:val="single" w:sz="8" w:color="auto"/>
              <w:bottom w:val="single" w:sz="8" w:color="auto"/>
            </w:tcBorders>
          </w:tcPr>
          <w:p>
            <w:pPr>
              <w:spacing w:after="0"/>
              <w:rPr>
                <w:sz w:val="12"/>
                <w:szCs w:val="12"/>
                <w:color w:val="auto"/>
              </w:rPr>
            </w:pPr>
          </w:p>
        </w:tc>
      </w:tr>
      <w:tr>
        <w:trPr>
          <w:trHeight w:val="142"/>
        </w:trPr>
        <w:tc>
          <w:tcPr>
            <w:tcW w:w="6080" w:type="dxa"/>
            <w:vAlign w:val="bottom"/>
            <w:gridSpan w:val="2"/>
          </w:tcPr>
          <w:p>
            <w:pPr>
              <w:ind w:left="58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20" w:type="dxa"/>
            <w:vAlign w:val="bottom"/>
            <w:gridSpan w:val="2"/>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98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40" w:type="dxa"/>
            <w:vAlign w:val="bottom"/>
          </w:tcPr>
          <w:p>
            <w:pPr>
              <w:spacing w:after="0"/>
              <w:rPr>
                <w:sz w:val="12"/>
                <w:szCs w:val="12"/>
                <w:color w:val="auto"/>
              </w:rPr>
            </w:pPr>
          </w:p>
        </w:tc>
        <w:tc>
          <w:tcPr>
            <w:tcW w:w="3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Developer Services: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Subscription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173,523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196,813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226,338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32,366</w:t>
            </w:r>
          </w:p>
        </w:tc>
      </w:tr>
      <w:tr>
        <w:trPr>
          <w:trHeight w:val="216"/>
        </w:trPr>
        <w:tc>
          <w:tcPr>
            <w:tcW w:w="6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Value-Added Services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Vertical Applications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85,580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86,532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107,591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15,385</w:t>
            </w:r>
          </w:p>
        </w:tc>
      </w:tr>
      <w:tr>
        <w:trPr>
          <w:trHeight w:val="210"/>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316,170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374,847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53,602</w:t>
            </w:r>
          </w:p>
        </w:tc>
      </w:tr>
      <w:tr>
        <w:trPr>
          <w:trHeight w:val="20"/>
        </w:trPr>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2024 and 2025, revenues recognized at a point in time are RMB163,262, RMB192,200 and RMB235,445 (US$33,668), respectively. For the years ended December 31, 2023, 2024 and 2025, revenues recognized over time are RMB126,970, RMB123,970 and RMB139,402 (US$19,934),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w:t>
            </w: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Other income (loss)</w:t>
            </w: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78"/>
        </w:trPr>
        <w:tc>
          <w:tcPr>
            <w:tcW w:w="260" w:type="dxa"/>
            <w:vAlign w:val="bottom"/>
          </w:tcPr>
          <w:p>
            <w:pPr>
              <w:spacing w:after="0"/>
              <w:rPr>
                <w:sz w:val="24"/>
                <w:szCs w:val="24"/>
                <w:color w:val="auto"/>
              </w:rPr>
            </w:pPr>
          </w:p>
        </w:tc>
        <w:tc>
          <w:tcPr>
            <w:tcW w:w="5840" w:type="dxa"/>
            <w:vAlign w:val="bottom"/>
            <w:gridSpan w:val="2"/>
          </w:tcPr>
          <w:p>
            <w:pPr>
              <w:ind w:left="56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42"/>
        </w:trPr>
        <w:tc>
          <w:tcPr>
            <w:tcW w:w="26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680" w:type="dxa"/>
            <w:vAlign w:val="bottom"/>
            <w:tcBorders>
              <w:top w:val="single" w:sz="8" w:color="auto"/>
              <w:bottom w:val="single" w:sz="8" w:color="auto"/>
            </w:tcBorders>
          </w:tcPr>
          <w:p>
            <w:pPr>
              <w:spacing w:after="0"/>
              <w:rPr>
                <w:sz w:val="12"/>
                <w:szCs w:val="12"/>
                <w:color w:val="auto"/>
              </w:rPr>
            </w:pPr>
          </w:p>
        </w:tc>
      </w:tr>
      <w:tr>
        <w:trPr>
          <w:trHeight w:val="142"/>
        </w:trPr>
        <w:tc>
          <w:tcPr>
            <w:tcW w:w="260" w:type="dxa"/>
            <w:vAlign w:val="bottom"/>
          </w:tcPr>
          <w:p>
            <w:pPr>
              <w:spacing w:after="0"/>
              <w:rPr>
                <w:sz w:val="12"/>
                <w:szCs w:val="12"/>
                <w:color w:val="auto"/>
              </w:rPr>
            </w:pPr>
          </w:p>
        </w:tc>
        <w:tc>
          <w:tcPr>
            <w:tcW w:w="5840" w:type="dxa"/>
            <w:vAlign w:val="bottom"/>
            <w:gridSpan w:val="2"/>
          </w:tcPr>
          <w:p>
            <w:pPr>
              <w:ind w:left="56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2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98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40" w:type="dxa"/>
            <w:vAlign w:val="bottom"/>
          </w:tcPr>
          <w:p>
            <w:pPr>
              <w:spacing w:after="0"/>
              <w:rPr>
                <w:sz w:val="12"/>
                <w:szCs w:val="12"/>
                <w:color w:val="auto"/>
              </w:rPr>
            </w:pPr>
          </w:p>
        </w:tc>
        <w:tc>
          <w:tcPr>
            <w:tcW w:w="3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6"/>
        </w:trPr>
        <w:tc>
          <w:tcPr>
            <w:tcW w:w="6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loss of long-term investment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Impairment of long-term investments (Note 9)</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losses for loans receivable</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from ADR profit-sharing program</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61</w:t>
            </w:r>
          </w:p>
        </w:tc>
      </w:tr>
      <w:tr>
        <w:trPr>
          <w:trHeight w:val="209"/>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2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42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21</w:t>
            </w: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or disclosed at fair value</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measures equity investment with readily determinable fair value at fair value on a recurring basis. The equity securities with readily determinable fair value are classified within Level 2 as the fair value is measured by using inputs derived from or corroborated by observable market data.</w:t>
      </w:r>
    </w:p>
    <w:p>
      <w:pPr>
        <w:spacing w:after="0" w:line="176"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The Company’s non-financial long-lived assets, such as intangible assets and property and equipment, would be measured at fair value only if they were determined to be impaired. The Company uses a combination of valuation methodologies, including market approach based on the Company’s best estimate to determine the fair value of these non-financial assets. The Company measures non-recurring fair value measurements as of the observable transaction dates. The fair value (Level 2) was evaluated for certain property and equipment based on quoted prices for similar assets in markets that are not active.</w:t>
      </w:r>
    </w:p>
    <w:p>
      <w:pPr>
        <w:spacing w:after="0" w:line="183"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Company measures certain financial assets, including equity method investments and equity investments without readily determinable fair value at fair value on a non-recurring basis only if an impairment loss or upward valuation were to be recognized.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assets measured at fair value are summarized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60" w:type="dxa"/>
            <w:vAlign w:val="bottom"/>
            <w:gridSpan w:val="2"/>
          </w:tcPr>
          <w:p>
            <w:pPr>
              <w:ind w:left="432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60" w:type="dxa"/>
            <w:vAlign w:val="bottom"/>
            <w:gridSpan w:val="8"/>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Fair value measurement at December 31, 2025 using</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5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Total Fair</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5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8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5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60" w:type="dxa"/>
            <w:vAlign w:val="bottom"/>
            <w:gridSpan w:val="2"/>
          </w:tcPr>
          <w:p>
            <w:pPr>
              <w:ind w:left="43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center"/>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60" w:type="dxa"/>
            <w:vAlign w:val="bottom"/>
          </w:tcPr>
          <w:p>
            <w:pPr>
              <w:spacing w:after="0"/>
              <w:rPr>
                <w:sz w:val="12"/>
                <w:szCs w:val="12"/>
                <w:color w:val="auto"/>
              </w:rPr>
            </w:pPr>
          </w:p>
        </w:tc>
        <w:tc>
          <w:tcPr>
            <w:tcW w:w="800" w:type="dxa"/>
            <w:vAlign w:val="bottom"/>
            <w:gridSpan w:val="2"/>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 on a recurring basis:</w:t>
            </w:r>
          </w:p>
        </w:tc>
        <w:tc>
          <w:tcPr>
            <w:tcW w:w="10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investment with readily determinable fair value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there was no assets measured at fair value on a recurring basis.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2025, there was no assets measured at fair value on a non-recurring basis.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Subsequent Event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11, 2026, the Company issued a warrant (the “Warrant”) to an institutional investor (the “Investor”). Pursuant to the terms of the Warrant, the Investor has the right to purchase up to 9,666,666 common shares (representing approximately 725,000 ADSs) of the Company at an initial exercise price of US$1.035 per common share (translating to US$13.8 per ADS), subject to adjustments.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Restricted net assets</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Company’s ability to pay dividends is primarily dependent on the Company receiving distributions of funds from its subsidiaries. Relevant PRC statutory laws and regulations permit payments of dividends by the VIE incorporated in PRC only out of their retained earnings, if any, as determined in accordance with PRC accounting standards and regulations. The consolidated results of operations reflected in the consolidated financial statements prepared in accordance with U.S. GAAP differ from those reflected in the statutory financial statements of the Company’s subsidiaries, the VIE and the subsidiaries of the VIE.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PRC law, the Company’s subsidiary, the VIE, and the subsidiaries of the VIE located in the PRC (collectively referred as the “PRC entities”) are required to provide for certain statutory reserves, namely a general reserve, an enterprise expansion fund and a staff welfare and bonus fund. The PRC entities are required to allocate at least 10% of their after tax profits on an individual company basis as determined under PRC accounting standards to the statutory reserve and has the right to discontinue allocations to the statutory reserve if such reserve has reached 50% of registered capital on an individual company basis. In addition, the registered capital of the PRC entities is also restricted.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Appropriations to the enterprise expansion fund and staff welfare and bonus fund are at the discretion of the Board of Directors of the subsidiary. The PRC entities are also subject to similar statutory reserve requirements. These reserves can only be used for specific purposes and are not transferable to the Company in the form of loans, advances or cash dividends.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of net assets restricted include the paid-in capital and statutory reserve of the Company’s PRC subsidiary and the net assets of the VIE in which the Company has no legal ownership, totaling RMB706,293 (US$100,999) as of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Condensed financial information of the parent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For the presentation of the parent company only condensed financial information, the Company records its investments in subsidiaries and the VIE under the equity method of accounting as prescribed in ASC 323, </w:t>
      </w:r>
      <w:r>
        <w:rPr>
          <w:rFonts w:ascii="Times New Roman" w:cs="Times New Roman" w:eastAsia="Times New Roman" w:hAnsi="Times New Roman"/>
          <w:sz w:val="18"/>
          <w:szCs w:val="18"/>
          <w:i w:val="1"/>
          <w:iCs w:val="1"/>
          <w:color w:val="auto"/>
        </w:rPr>
        <w:t>Investments—Equity Method and Joint Ventures</w:t>
      </w:r>
      <w:r>
        <w:rPr>
          <w:rFonts w:ascii="Times New Roman" w:cs="Times New Roman" w:eastAsia="Times New Roman" w:hAnsi="Times New Roman"/>
          <w:sz w:val="18"/>
          <w:szCs w:val="18"/>
          <w:color w:val="auto"/>
        </w:rPr>
        <w:t>. Such investments are presented on the condensed balance sheets as “ Long-term investments” and the subsidiaries’ and VIE’s (loss)/income as “Share of (loss)/income of the subsidiaries and VIE” on the condensed statements of comprehensive loss.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subsidiaries did not pay any dividends to the Company for the periods presented.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significant commitments or long-term obligations as of the period end other than those presented.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parent company only financial statements should be read in conjunction with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w:t>
      </w:r>
    </w:p>
    <w:p>
      <w:pPr>
        <w:spacing w:after="0" w:line="185" w:lineRule="exact"/>
        <w:rPr>
          <w:sz w:val="20"/>
          <w:szCs w:val="20"/>
          <w:color w:val="auto"/>
        </w:rPr>
      </w:pPr>
    </w:p>
    <w:p>
      <w:pPr>
        <w:ind w:right="4400" w:firstLine="8"/>
        <w:spacing w:after="0" w:line="507" w:lineRule="auto"/>
        <w:tabs>
          <w:tab w:leader="none" w:pos="324"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Condensed financial information of the parent company (continued) Condensed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3240" w:type="dxa"/>
            <w:vAlign w:val="bottom"/>
            <w:gridSpan w:val="2"/>
          </w:tcPr>
          <w:p>
            <w:pPr>
              <w:jc w:val="right"/>
              <w:ind w:right="875"/>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76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4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vMerge w:val="continue"/>
          </w:tcPr>
          <w:p>
            <w:pPr>
              <w:spacing w:after="0"/>
              <w:rPr>
                <w:sz w:val="12"/>
                <w:szCs w:val="12"/>
                <w:color w:val="auto"/>
              </w:rPr>
            </w:pPr>
          </w:p>
        </w:tc>
        <w:tc>
          <w:tcPr>
            <w:tcW w:w="90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40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Due from the entities within the Group</w:t>
            </w: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10,592</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3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20,776</w:t>
            </w:r>
          </w:p>
        </w:tc>
        <w:tc>
          <w:tcPr>
            <w:tcW w:w="22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41,903</w:t>
            </w: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304,090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306,164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3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309,220</w:t>
            </w:r>
          </w:p>
        </w:tc>
        <w:tc>
          <w:tcPr>
            <w:tcW w:w="22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311,180</w:t>
            </w: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329,996</w:t>
            </w: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353,083</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vMerge w:val="continue"/>
          </w:tcPr>
          <w:p>
            <w:pPr>
              <w:spacing w:after="0"/>
              <w:rPr>
                <w:sz w:val="17"/>
                <w:szCs w:val="17"/>
                <w:color w:val="auto"/>
              </w:rPr>
            </w:pPr>
          </w:p>
        </w:tc>
        <w:tc>
          <w:tcPr>
            <w:tcW w:w="2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the entities within the Group</w:t>
            </w:r>
          </w:p>
        </w:tc>
        <w:tc>
          <w:tcPr>
            <w:tcW w:w="3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259,732</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283,652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3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262,074</w:t>
            </w:r>
          </w:p>
        </w:tc>
        <w:tc>
          <w:tcPr>
            <w:tcW w:w="22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287,285</w:t>
            </w: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262,074</w:t>
            </w: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287,285</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4360" w:type="dxa"/>
            <w:vAlign w:val="bottom"/>
          </w:tcPr>
          <w:p>
            <w:pPr>
              <w:spacing w:after="0"/>
              <w:rPr>
                <w:sz w:val="24"/>
                <w:szCs w:val="24"/>
                <w:color w:val="auto"/>
              </w:rPr>
            </w:pPr>
          </w:p>
        </w:tc>
        <w:tc>
          <w:tcPr>
            <w:tcW w:w="3240" w:type="dxa"/>
            <w:vAlign w:val="bottom"/>
            <w:gridSpan w:val="2"/>
          </w:tcPr>
          <w:p>
            <w:pPr>
              <w:jc w:val="right"/>
              <w:ind w:right="2375"/>
              <w:spacing w:after="0"/>
              <w:rPr>
                <w:sz w:val="20"/>
                <w:szCs w:val="20"/>
                <w:color w:val="auto"/>
              </w:rPr>
            </w:pPr>
            <w:r>
              <w:rPr>
                <w:rFonts w:ascii="Times New Roman" w:cs="Times New Roman" w:eastAsia="Times New Roman" w:hAnsi="Times New Roman"/>
                <w:sz w:val="18"/>
                <w:szCs w:val="18"/>
                <w:color w:val="auto"/>
              </w:rPr>
              <w:t>F-52</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3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513" w:right="9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3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except for number of options and per exercise option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price)</w:t>
      </w:r>
    </w:p>
    <w:p>
      <w:pPr>
        <w:spacing w:after="0" w:line="162" w:lineRule="exact"/>
        <w:rPr>
          <w:sz w:val="20"/>
          <w:szCs w:val="20"/>
          <w:color w:val="auto"/>
        </w:rPr>
      </w:pPr>
    </w:p>
    <w:p>
      <w:pPr>
        <w:ind w:right="4360" w:firstLine="8"/>
        <w:spacing w:after="0" w:line="537" w:lineRule="auto"/>
        <w:tabs>
          <w:tab w:leader="none" w:pos="324"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Condensed financial information of the parent company (continued) Condensed Balance Sheets (continued)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60" w:type="dxa"/>
            <w:vAlign w:val="bottom"/>
          </w:tcPr>
          <w:p>
            <w:pPr>
              <w:spacing w:after="0"/>
              <w:rPr>
                <w:sz w:val="17"/>
                <w:szCs w:val="17"/>
                <w:color w:val="auto"/>
              </w:rPr>
            </w:pPr>
          </w:p>
        </w:tc>
        <w:tc>
          <w:tcPr>
            <w:tcW w:w="9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Pr>
          <w:p>
            <w:pPr>
              <w:spacing w:after="0"/>
              <w:rPr>
                <w:sz w:val="17"/>
                <w:szCs w:val="17"/>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RMB</w:t>
            </w:r>
          </w:p>
        </w:tc>
        <w:tc>
          <w:tcPr>
            <w:tcW w:w="3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common shares (par value of US$0.0001 per share as of December 31, 2024 and</w:t>
            </w: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 4,920,000,000 shares authorized as of December 31, 2024 and 2025, 63,041,500</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and 62,971,166 shares issued and outstanding as of December 31, 2024 and</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 respectively)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6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common shares (par value of US$0.0001 per share as of December 31, 2024 and</w:t>
            </w: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 30,000,000 shares authorized as of December 31, 2024 and 2025, 17,000,189</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and 17,000,189 shares issued and outstanding as of December 31, 2024 and</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6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Treasury shares (442,915 and 1,415,422 class A common shares as of December 31,</w:t>
            </w: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2024 and 2025, respectively)</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2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(6,430)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1,045,221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1,049,029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150,009</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(995,715)</w:t>
            </w: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(995,292)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(142,325)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0" w:type="dxa"/>
            <w:vAlign w:val="bottom"/>
          </w:tcPr>
          <w:p>
            <w:pPr>
              <w:spacing w:after="0"/>
              <w:rPr>
                <w:sz w:val="1"/>
                <w:szCs w:val="1"/>
                <w:color w:val="auto"/>
              </w:rPr>
            </w:pPr>
          </w:p>
        </w:tc>
      </w:tr>
      <w:tr>
        <w:trPr>
          <w:trHeight w:val="210"/>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67,922</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65,798</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9,409</w:t>
            </w:r>
          </w:p>
        </w:tc>
        <w:tc>
          <w:tcPr>
            <w:tcW w:w="0" w:type="dxa"/>
            <w:vAlign w:val="bottom"/>
          </w:tcPr>
          <w:p>
            <w:pPr>
              <w:spacing w:after="0"/>
              <w:rPr>
                <w:sz w:val="1"/>
                <w:szCs w:val="1"/>
                <w:color w:val="auto"/>
              </w:rPr>
            </w:pPr>
          </w:p>
        </w:tc>
      </w:tr>
      <w:tr>
        <w:trPr>
          <w:trHeight w:val="210"/>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329,996</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353,083</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50,491</w:t>
            </w:r>
          </w:p>
        </w:tc>
        <w:tc>
          <w:tcPr>
            <w:tcW w:w="0" w:type="dxa"/>
            <w:vAlign w:val="bottom"/>
          </w:tcPr>
          <w:p>
            <w:pPr>
              <w:spacing w:after="0"/>
              <w:rPr>
                <w:sz w:val="1"/>
                <w:szCs w:val="1"/>
                <w:color w:val="auto"/>
              </w:rPr>
            </w:pPr>
          </w:p>
        </w:tc>
      </w:tr>
      <w:tr>
        <w:trPr>
          <w:trHeight w:val="20"/>
        </w:trPr>
        <w:tc>
          <w:tcPr>
            <w:tcW w:w="6660" w:type="dxa"/>
            <w:vAlign w:val="bottom"/>
            <w:vMerge w:val="restart"/>
          </w:tcPr>
          <w:p>
            <w:pPr>
              <w:ind w:left="4800"/>
              <w:spacing w:after="0"/>
              <w:rPr>
                <w:sz w:val="20"/>
                <w:szCs w:val="20"/>
                <w:color w:val="auto"/>
              </w:rPr>
            </w:pPr>
            <w:r>
              <w:rPr>
                <w:rFonts w:ascii="Times New Roman" w:cs="Times New Roman" w:eastAsia="Times New Roman" w:hAnsi="Times New Roman"/>
                <w:sz w:val="18"/>
                <w:szCs w:val="18"/>
                <w:color w:val="auto"/>
              </w:rPr>
              <w:t>F-53</w:t>
            </w: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6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6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w:t>
      </w:r>
    </w:p>
    <w:p>
      <w:pPr>
        <w:spacing w:after="0" w:line="185" w:lineRule="exact"/>
        <w:rPr>
          <w:sz w:val="20"/>
          <w:szCs w:val="20"/>
          <w:color w:val="auto"/>
        </w:rPr>
      </w:pPr>
    </w:p>
    <w:p>
      <w:pPr>
        <w:ind w:right="4360" w:firstLine="8"/>
        <w:spacing w:after="0" w:line="507" w:lineRule="auto"/>
        <w:tabs>
          <w:tab w:leader="none" w:pos="324"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Condensed financial information of the parent company (continued) Condensed Statements of Comprehensive Loss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800" w:type="dxa"/>
            <w:vAlign w:val="bottom"/>
            <w:gridSpan w:val="3"/>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92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60" w:type="dxa"/>
            <w:vAlign w:val="bottom"/>
            <w:tcBorders>
              <w:top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5"/>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60" w:type="dxa"/>
            <w:vAlign w:val="bottom"/>
            <w:tcBorders>
              <w:top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4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4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4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9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(517)</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(416)</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(11,430)</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(7,018)</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(5,499)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(loss)/income of the subsidiaries and VIE</w:t>
            </w:r>
          </w:p>
        </w:tc>
        <w:tc>
          <w:tcPr>
            <w:tcW w:w="1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(45,933)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(57,880)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(7,061)</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(Loss)/income from operations</w:t>
            </w:r>
          </w:p>
        </w:tc>
        <w:tc>
          <w:tcPr>
            <w:tcW w:w="9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(57,880)</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(7,061)</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(loss)/gain, net</w:t>
            </w: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w:t>
            </w:r>
          </w:p>
        </w:tc>
        <w:tc>
          <w:tcPr>
            <w:tcW w:w="1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(4,191)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(Loss)/income before income taxes</w:t>
            </w:r>
          </w:p>
        </w:tc>
        <w:tc>
          <w:tcPr>
            <w:tcW w:w="92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(62,098)</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(7,046)</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9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92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(62,098)</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(7,046)</w:t>
            </w: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(loss)/income attributable to common shareholders</w:t>
            </w:r>
          </w:p>
        </w:tc>
        <w:tc>
          <w:tcPr>
            <w:tcW w:w="9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(62,098)</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(7,046)</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423</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income/(loss), net of tax</w:t>
            </w:r>
          </w:p>
        </w:tc>
        <w:tc>
          <w:tcPr>
            <w:tcW w:w="920" w:type="dxa"/>
            <w:vAlign w:val="bottom"/>
            <w:tcBorders>
              <w:top w:val="single" w:sz="8" w:color="CCEEFF"/>
              <w:bottom w:val="single" w:sz="8" w:color="CCEEFF"/>
            </w:tcBorders>
            <w:vMerge w:val="restart"/>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tcBorders>
              <w:bottom w:val="single" w:sz="8" w:color="CCEEFF"/>
            </w:tcBorders>
            <w:vMerge w:val="continue"/>
          </w:tcPr>
          <w:p>
            <w:pPr>
              <w:spacing w:after="0"/>
              <w:rPr>
                <w:sz w:val="17"/>
                <w:szCs w:val="17"/>
                <w:color w:val="auto"/>
              </w:rPr>
            </w:pPr>
          </w:p>
        </w:tc>
        <w:tc>
          <w:tcPr>
            <w:tcW w:w="920" w:type="dxa"/>
            <w:vAlign w:val="bottom"/>
            <w:tcBorders>
              <w:bottom w:val="single" w:sz="8" w:color="CCEEFF"/>
            </w:tcBorders>
            <w:vMerge w:val="continue"/>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919</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817</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(1,600)</w:t>
            </w:r>
          </w:p>
        </w:tc>
        <w:tc>
          <w:tcPr>
            <w:tcW w:w="4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9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(61,179)</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 )</w:t>
      </w:r>
    </w:p>
    <w:p>
      <w:pPr>
        <w:spacing w:after="0" w:line="185" w:lineRule="exact"/>
        <w:rPr>
          <w:sz w:val="20"/>
          <w:szCs w:val="20"/>
          <w:color w:val="auto"/>
        </w:rPr>
      </w:pPr>
    </w:p>
    <w:p>
      <w:pPr>
        <w:ind w:right="4360" w:firstLine="8"/>
        <w:spacing w:after="0" w:line="507" w:lineRule="auto"/>
        <w:tabs>
          <w:tab w:leader="none" w:pos="324"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Condensed financial information of the parent company (continued) Condensed Statements of Cash Flows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11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5"/>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5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5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top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operating activities</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20" w:type="dxa"/>
            <w:vAlign w:val="bottom"/>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(5,047)</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0" w:type="dxa"/>
            <w:vAlign w:val="bottom"/>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20" w:type="dxa"/>
            <w:vAlign w:val="bottom"/>
          </w:tcPr>
          <w:p>
            <w:pPr>
              <w:spacing w:after="0"/>
              <w:rPr>
                <w:sz w:val="18"/>
                <w:szCs w:val="18"/>
                <w:color w:val="auto"/>
              </w:rPr>
            </w:pP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(decrease)/increase in cash and cash equivalents and restricted cash</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19,917</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20" w:type="dxa"/>
            <w:vAlign w:val="bottom"/>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the beginning of year</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33,871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0" w:type="dxa"/>
            <w:vAlign w:val="bottom"/>
          </w:tcPr>
          <w:p>
            <w:pPr>
              <w:spacing w:after="0"/>
              <w:rPr>
                <w:sz w:val="18"/>
                <w:szCs w:val="18"/>
                <w:color w:val="auto"/>
              </w:rPr>
            </w:pPr>
          </w:p>
        </w:tc>
      </w:tr>
      <w:tr>
        <w:trPr>
          <w:trHeight w:val="209"/>
        </w:trPr>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at the end of year</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20" w:type="dxa"/>
            <w:vAlign w:val="bottom"/>
          </w:tcPr>
          <w:p>
            <w:pPr>
              <w:spacing w:after="0"/>
              <w:rPr>
                <w:sz w:val="18"/>
                <w:szCs w:val="18"/>
                <w:color w:val="auto"/>
              </w:rPr>
            </w:pPr>
          </w:p>
        </w:tc>
      </w:tr>
      <w:tr>
        <w:trPr>
          <w:trHeight w:val="20"/>
        </w:trPr>
        <w:tc>
          <w:tcPr>
            <w:tcW w:w="5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Subsidiaries and Consolidated Variable Interest Entity of the Registrant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44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6"/>
                <w:szCs w:val="16"/>
                <w:b w:val="1"/>
                <w:bCs w:val="1"/>
                <w:color w:val="auto"/>
              </w:rPr>
              <w:t>Place of Incorporation</w:t>
            </w:r>
          </w:p>
        </w:tc>
      </w:tr>
      <w:tr>
        <w:trPr>
          <w:trHeight w:val="185"/>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UA Mobile Limited</w:t>
            </w:r>
          </w:p>
        </w:tc>
        <w:tc>
          <w:tcPr>
            <w:tcW w:w="446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British Virgin Islands</w:t>
            </w:r>
          </w:p>
        </w:tc>
      </w:tr>
      <w:tr>
        <w:trPr>
          <w:trHeight w:val="203"/>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Meta Reality Limited</w:t>
            </w:r>
          </w:p>
        </w:tc>
        <w:tc>
          <w:tcPr>
            <w:tcW w:w="446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British Virgin Islands</w:t>
            </w:r>
          </w:p>
        </w:tc>
      </w:tr>
      <w:tr>
        <w:trPr>
          <w:trHeight w:val="203"/>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KK Mobile Investment Limited</w:t>
            </w:r>
          </w:p>
        </w:tc>
        <w:tc>
          <w:tcPr>
            <w:tcW w:w="446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Hong Kong</w:t>
            </w:r>
          </w:p>
        </w:tc>
      </w:tr>
      <w:tr>
        <w:trPr>
          <w:trHeight w:val="210"/>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JPush Information Consultation (Shenzhen) Co., Ltd.</w:t>
            </w:r>
          </w:p>
        </w:tc>
        <w:tc>
          <w:tcPr>
            <w:tcW w:w="446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Mainland China</w:t>
            </w:r>
          </w:p>
        </w:tc>
      </w:tr>
      <w:tr>
        <w:trPr>
          <w:trHeight w:val="216"/>
        </w:trPr>
        <w:tc>
          <w:tcPr>
            <w:tcW w:w="5460" w:type="dxa"/>
            <w:vAlign w:val="bottom"/>
          </w:tcPr>
          <w:p>
            <w:pPr>
              <w:spacing w:after="0" w:line="195" w:lineRule="exact"/>
              <w:rPr>
                <w:sz w:val="20"/>
                <w:szCs w:val="20"/>
                <w:color w:val="auto"/>
              </w:rPr>
            </w:pPr>
            <w:r>
              <w:rPr>
                <w:rFonts w:ascii="Times New Roman" w:cs="Times New Roman" w:eastAsia="Times New Roman" w:hAnsi="Times New Roman"/>
                <w:sz w:val="16"/>
                <w:szCs w:val="16"/>
                <w:color w:val="auto"/>
              </w:rPr>
              <w:t>(</w:t>
            </w:r>
            <w:r>
              <w:rPr>
                <w:rFonts w:ascii="SimSun" w:cs="SimSun" w:eastAsia="SimSun" w:hAnsi="SimSun"/>
                <w:sz w:val="16"/>
                <w:szCs w:val="16"/>
                <w:color w:val="auto"/>
              </w:rPr>
              <w:t>吉浦斯信息咨询（深圳）有限公司</w:t>
            </w:r>
            <w:r>
              <w:rPr>
                <w:rFonts w:ascii="Times New Roman" w:cs="Times New Roman" w:eastAsia="Times New Roman" w:hAnsi="Times New Roman"/>
                <w:sz w:val="16"/>
                <w:szCs w:val="16"/>
                <w:color w:val="auto"/>
              </w:rPr>
              <w:t>)</w:t>
            </w:r>
          </w:p>
        </w:tc>
        <w:tc>
          <w:tcPr>
            <w:tcW w:w="4460" w:type="dxa"/>
            <w:vAlign w:val="bottom"/>
          </w:tcPr>
          <w:p>
            <w:pPr>
              <w:spacing w:after="0"/>
              <w:rPr>
                <w:sz w:val="18"/>
                <w:szCs w:val="18"/>
                <w:color w:val="auto"/>
              </w:rPr>
            </w:pPr>
          </w:p>
        </w:tc>
      </w:tr>
      <w:tr>
        <w:trPr>
          <w:trHeight w:val="208"/>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Metaverse Cloud Pte Ltd</w:t>
            </w:r>
          </w:p>
        </w:tc>
        <w:tc>
          <w:tcPr>
            <w:tcW w:w="446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Singapore</w:t>
            </w:r>
          </w:p>
        </w:tc>
      </w:tr>
      <w:tr>
        <w:trPr>
          <w:trHeight w:val="203"/>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Metaverse Cloud Sdn. Bhd.</w:t>
            </w:r>
          </w:p>
        </w:tc>
        <w:tc>
          <w:tcPr>
            <w:tcW w:w="446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Malaysia</w:t>
            </w:r>
          </w:p>
        </w:tc>
      </w:tr>
      <w:tr>
        <w:trPr>
          <w:trHeight w:val="203"/>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GPTBots Inc</w:t>
            </w:r>
          </w:p>
        </w:tc>
        <w:tc>
          <w:tcPr>
            <w:tcW w:w="446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3"/>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GPTBots Investment Limited</w:t>
            </w:r>
          </w:p>
        </w:tc>
        <w:tc>
          <w:tcPr>
            <w:tcW w:w="446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British Virgin Islands</w:t>
            </w:r>
          </w:p>
        </w:tc>
      </w:tr>
      <w:tr>
        <w:trPr>
          <w:trHeight w:val="203"/>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GPTBots Hong Kong Limited</w:t>
            </w:r>
          </w:p>
        </w:tc>
        <w:tc>
          <w:tcPr>
            <w:tcW w:w="446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Hong Kong</w:t>
            </w:r>
          </w:p>
        </w:tc>
      </w:tr>
      <w:tr>
        <w:trPr>
          <w:trHeight w:val="203"/>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Metaverse Cloud Hong Kong Limited</w:t>
            </w:r>
          </w:p>
        </w:tc>
        <w:tc>
          <w:tcPr>
            <w:tcW w:w="446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Hong Kong</w:t>
            </w:r>
          </w:p>
        </w:tc>
      </w:tr>
      <w:tr>
        <w:trPr>
          <w:trHeight w:val="203"/>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Adbid.ai Hong Kong Limited</w:t>
            </w:r>
          </w:p>
        </w:tc>
        <w:tc>
          <w:tcPr>
            <w:tcW w:w="446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Hong Kong</w:t>
            </w:r>
          </w:p>
        </w:tc>
      </w:tr>
      <w:tr>
        <w:trPr>
          <w:trHeight w:val="203"/>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PT Metaverse Cloud Indonesia</w:t>
            </w:r>
          </w:p>
        </w:tc>
        <w:tc>
          <w:tcPr>
            <w:tcW w:w="446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Indonesia</w:t>
            </w:r>
          </w:p>
        </w:tc>
      </w:tr>
      <w:tr>
        <w:trPr>
          <w:trHeight w:val="210"/>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Sendora Inc.</w:t>
            </w:r>
          </w:p>
        </w:tc>
        <w:tc>
          <w:tcPr>
            <w:tcW w:w="446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British Virgin Islands</w:t>
            </w: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Consolidated Variable Interest Entity</w:t>
            </w:r>
          </w:p>
        </w:tc>
        <w:tc>
          <w:tcPr>
            <w:tcW w:w="428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6"/>
                <w:szCs w:val="16"/>
                <w:b w:val="1"/>
                <w:bCs w:val="1"/>
                <w:color w:val="auto"/>
              </w:rPr>
              <w:t>Place of Incorporation</w:t>
            </w:r>
          </w:p>
        </w:tc>
      </w:tr>
      <w:tr>
        <w:trPr>
          <w:trHeight w:val="199"/>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Shenzhen Hexun Huagu Information Technology Co., Ltd.</w:t>
            </w:r>
          </w:p>
        </w:tc>
        <w:tc>
          <w:tcPr>
            <w:tcW w:w="4280" w:type="dxa"/>
            <w:vAlign w:val="bottom"/>
          </w:tcPr>
          <w:p>
            <w:pPr>
              <w:ind w:left="1800"/>
              <w:spacing w:after="0"/>
              <w:rPr>
                <w:sz w:val="20"/>
                <w:szCs w:val="20"/>
                <w:color w:val="auto"/>
              </w:rPr>
            </w:pPr>
            <w:r>
              <w:rPr>
                <w:rFonts w:ascii="Times New Roman" w:cs="Times New Roman" w:eastAsia="Times New Roman" w:hAnsi="Times New Roman"/>
                <w:sz w:val="16"/>
                <w:szCs w:val="16"/>
                <w:color w:val="auto"/>
              </w:rPr>
              <w:t>Mainland China</w:t>
            </w:r>
          </w:p>
        </w:tc>
      </w:tr>
      <w:tr>
        <w:trPr>
          <w:trHeight w:val="210"/>
        </w:trPr>
        <w:tc>
          <w:tcPr>
            <w:tcW w:w="5640" w:type="dxa"/>
            <w:vAlign w:val="bottom"/>
          </w:tcPr>
          <w:p>
            <w:pPr>
              <w:spacing w:after="0" w:line="195" w:lineRule="exact"/>
              <w:rPr>
                <w:sz w:val="20"/>
                <w:szCs w:val="20"/>
                <w:color w:val="auto"/>
              </w:rPr>
            </w:pPr>
            <w:r>
              <w:rPr>
                <w:rFonts w:ascii="Times New Roman" w:cs="Times New Roman" w:eastAsia="Times New Roman" w:hAnsi="Times New Roman"/>
                <w:sz w:val="16"/>
                <w:szCs w:val="16"/>
                <w:color w:val="auto"/>
              </w:rPr>
              <w:t>(</w:t>
            </w:r>
            <w:r>
              <w:rPr>
                <w:rFonts w:ascii="SimSun" w:cs="SimSun" w:eastAsia="SimSun" w:hAnsi="SimSun"/>
                <w:sz w:val="16"/>
                <w:szCs w:val="16"/>
                <w:color w:val="auto"/>
              </w:rPr>
              <w:t>深圳市和讯华谷信息技术有限公司</w:t>
            </w:r>
            <w:r>
              <w:rPr>
                <w:rFonts w:ascii="Times New Roman" w:cs="Times New Roman" w:eastAsia="Times New Roman" w:hAnsi="Times New Roman"/>
                <w:sz w:val="16"/>
                <w:szCs w:val="16"/>
                <w:color w:val="auto"/>
              </w:rPr>
              <w:t>)</w:t>
            </w:r>
          </w:p>
        </w:tc>
        <w:tc>
          <w:tcPr>
            <w:tcW w:w="4280" w:type="dxa"/>
            <w:vAlign w:val="bottom"/>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Wuhan SendCloud Technology Co., Ltd.</w:t>
            </w:r>
          </w:p>
        </w:tc>
        <w:tc>
          <w:tcPr>
            <w:tcW w:w="4280" w:type="dxa"/>
            <w:vAlign w:val="bottom"/>
          </w:tcPr>
          <w:p>
            <w:pPr>
              <w:ind w:left="1800"/>
              <w:spacing w:after="0"/>
              <w:rPr>
                <w:sz w:val="20"/>
                <w:szCs w:val="20"/>
                <w:color w:val="auto"/>
              </w:rPr>
            </w:pPr>
            <w:r>
              <w:rPr>
                <w:rFonts w:ascii="Times New Roman" w:cs="Times New Roman" w:eastAsia="Times New Roman" w:hAnsi="Times New Roman"/>
                <w:sz w:val="16"/>
                <w:szCs w:val="16"/>
                <w:color w:val="auto"/>
              </w:rPr>
              <w:t>Mainland China</w:t>
            </w:r>
          </w:p>
        </w:tc>
      </w:tr>
      <w:tr>
        <w:trPr>
          <w:trHeight w:val="216"/>
        </w:trPr>
        <w:tc>
          <w:tcPr>
            <w:tcW w:w="5640" w:type="dxa"/>
            <w:vAlign w:val="bottom"/>
          </w:tcPr>
          <w:p>
            <w:pPr>
              <w:spacing w:after="0" w:line="195" w:lineRule="exact"/>
              <w:rPr>
                <w:sz w:val="20"/>
                <w:szCs w:val="20"/>
                <w:color w:val="auto"/>
              </w:rPr>
            </w:pPr>
            <w:r>
              <w:rPr>
                <w:rFonts w:ascii="Times New Roman" w:cs="Times New Roman" w:eastAsia="Times New Roman" w:hAnsi="Times New Roman"/>
                <w:sz w:val="16"/>
                <w:szCs w:val="16"/>
                <w:color w:val="auto"/>
              </w:rPr>
              <w:t>(</w:t>
            </w:r>
            <w:r>
              <w:rPr>
                <w:rFonts w:ascii="SimSun" w:cs="SimSun" w:eastAsia="SimSun" w:hAnsi="SimSun"/>
                <w:sz w:val="16"/>
                <w:szCs w:val="16"/>
                <w:color w:val="auto"/>
              </w:rPr>
              <w:t>武汉闪达科技有限公司</w:t>
            </w:r>
            <w:r>
              <w:rPr>
                <w:rFonts w:ascii="Times New Roman" w:cs="Times New Roman" w:eastAsia="Times New Roman" w:hAnsi="Times New Roman"/>
                <w:sz w:val="16"/>
                <w:szCs w:val="16"/>
                <w:color w:val="auto"/>
              </w:rPr>
              <w:t>)</w:t>
            </w:r>
          </w:p>
        </w:tc>
        <w:tc>
          <w:tcPr>
            <w:tcW w:w="4280" w:type="dxa"/>
            <w:vAlign w:val="bottom"/>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Ifaxin (Hubei) Cloud Co., Ltd.</w:t>
            </w:r>
          </w:p>
        </w:tc>
        <w:tc>
          <w:tcPr>
            <w:tcW w:w="4280" w:type="dxa"/>
            <w:vAlign w:val="bottom"/>
          </w:tcPr>
          <w:p>
            <w:pPr>
              <w:ind w:left="1800"/>
              <w:spacing w:after="0"/>
              <w:rPr>
                <w:sz w:val="20"/>
                <w:szCs w:val="20"/>
                <w:color w:val="auto"/>
              </w:rPr>
            </w:pPr>
            <w:r>
              <w:rPr>
                <w:rFonts w:ascii="Times New Roman" w:cs="Times New Roman" w:eastAsia="Times New Roman" w:hAnsi="Times New Roman"/>
                <w:sz w:val="16"/>
                <w:szCs w:val="16"/>
                <w:color w:val="auto"/>
              </w:rPr>
              <w:t>Mainland China</w:t>
            </w:r>
          </w:p>
        </w:tc>
      </w:tr>
      <w:tr>
        <w:trPr>
          <w:trHeight w:val="216"/>
        </w:trPr>
        <w:tc>
          <w:tcPr>
            <w:tcW w:w="5640" w:type="dxa"/>
            <w:vAlign w:val="bottom"/>
          </w:tcPr>
          <w:p>
            <w:pPr>
              <w:spacing w:after="0" w:line="195" w:lineRule="exact"/>
              <w:rPr>
                <w:sz w:val="20"/>
                <w:szCs w:val="20"/>
                <w:color w:val="auto"/>
              </w:rPr>
            </w:pPr>
            <w:r>
              <w:rPr>
                <w:rFonts w:ascii="Times New Roman" w:cs="Times New Roman" w:eastAsia="Times New Roman" w:hAnsi="Times New Roman"/>
                <w:sz w:val="16"/>
                <w:szCs w:val="16"/>
                <w:color w:val="auto"/>
              </w:rPr>
              <w:t>(</w:t>
            </w:r>
            <w:r>
              <w:rPr>
                <w:rFonts w:ascii="SimSun" w:cs="SimSun" w:eastAsia="SimSun" w:hAnsi="SimSun"/>
                <w:sz w:val="16"/>
                <w:szCs w:val="16"/>
                <w:color w:val="auto"/>
              </w:rPr>
              <w:t>爱发信（湖北）云计算有限公司</w:t>
            </w:r>
            <w:r>
              <w:rPr>
                <w:rFonts w:ascii="Times New Roman" w:cs="Times New Roman" w:eastAsia="Times New Roman" w:hAnsi="Times New Roman"/>
                <w:sz w:val="16"/>
                <w:szCs w:val="16"/>
                <w:color w:val="auto"/>
              </w:rPr>
              <w:t>)</w:t>
            </w:r>
          </w:p>
        </w:tc>
        <w:tc>
          <w:tcPr>
            <w:tcW w:w="4280" w:type="dxa"/>
            <w:vAlign w:val="bottom"/>
          </w:tcPr>
          <w:p>
            <w:pPr>
              <w:spacing w:after="0"/>
              <w:rPr>
                <w:sz w:val="18"/>
                <w:szCs w:val="18"/>
                <w:color w:val="auto"/>
              </w:rPr>
            </w:pPr>
          </w:p>
        </w:tc>
      </w:tr>
      <w:tr>
        <w:trPr>
          <w:trHeight w:val="796"/>
        </w:trPr>
        <w:tc>
          <w:tcPr>
            <w:tcW w:w="56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Weidong Luo, certify that:</w:t>
      </w:r>
    </w:p>
    <w:p>
      <w:pPr>
        <w:spacing w:after="0" w:line="225" w:lineRule="exact"/>
        <w:rPr>
          <w:sz w:val="20"/>
          <w:szCs w:val="20"/>
          <w:color w:val="auto"/>
        </w:rPr>
      </w:pPr>
    </w:p>
    <w:p>
      <w:pPr>
        <w:ind w:left="340" w:hanging="332"/>
        <w:spacing w:after="0"/>
        <w:tabs>
          <w:tab w:leader="none" w:pos="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Aurora Mobile Limited;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this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27, 2026</w:t>
      </w:r>
    </w:p>
    <w:p>
      <w:pPr>
        <w:spacing w:after="0" w:line="2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/s/ Weidong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17145</wp:posOffset>
            </wp:positionV>
            <wp:extent cx="28289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7">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Weidong Luo</w:t>
      </w:r>
    </w:p>
    <w:p>
      <w:pPr>
        <w:spacing w:after="0" w:line="2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Title:</w:t>
        <w:tab/>
        <w:t>Chairman of the Board of Directors and Chief Executive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Shan-Nen Bong, certify that:</w:t>
      </w:r>
    </w:p>
    <w:p>
      <w:pPr>
        <w:spacing w:after="0" w:line="225" w:lineRule="exact"/>
        <w:rPr>
          <w:sz w:val="20"/>
          <w:szCs w:val="20"/>
          <w:color w:val="auto"/>
        </w:rPr>
      </w:pPr>
    </w:p>
    <w:p>
      <w:pPr>
        <w:ind w:left="340" w:hanging="332"/>
        <w:spacing w:after="0"/>
        <w:tabs>
          <w:tab w:leader="none" w:pos="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Aurora Mobile Limited;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27, 2026</w:t>
      </w:r>
    </w:p>
    <w:p>
      <w:pPr>
        <w:spacing w:after="0" w:line="2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/s/ Shan-Nen Bong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17145</wp:posOffset>
            </wp:positionV>
            <wp:extent cx="28289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9">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Shan-Nen Bong</w:t>
      </w:r>
    </w:p>
    <w:p>
      <w:pPr>
        <w:spacing w:after="0" w:line="2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Aurora Mobile Limited (the “Company”) on Form 20-F for the year ended December 31, 2025 as filed with the Securities and Exchange Commission on the date hereof (the “Report”), I, Weidong Luo, Chief Executive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27, 2026</w:t>
      </w:r>
    </w:p>
    <w:p>
      <w:pPr>
        <w:spacing w:after="0" w:line="2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/s/ Weidong Luo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17145</wp:posOffset>
            </wp:positionV>
            <wp:extent cx="282892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Weidong Luo</w:t>
      </w:r>
    </w:p>
    <w:p>
      <w:pPr>
        <w:spacing w:after="0" w:line="2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Title:</w:t>
        <w:tab/>
        <w:t>Chairman of the Board of Directors and Chief Executive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Aurora Mobile Limited (the “Company”) on Form 20-F for the year ended December 31, 2025 as filed with the Securities and Exchange Commission on the date hereof (the “Report”), I, Shan-Nen Bong, Chief Financial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660" w:hanging="328"/>
        <w:spacing w:after="0"/>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27, 2026</w:t>
      </w:r>
    </w:p>
    <w:p>
      <w:pPr>
        <w:spacing w:after="0" w:line="2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/s/ Shan-Nen Bong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17145</wp:posOffset>
            </wp:positionV>
            <wp:extent cx="28289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3">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Shan-Nen Bong</w:t>
      </w:r>
    </w:p>
    <w:p>
      <w:pPr>
        <w:spacing w:after="0" w:line="2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2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85" w:lineRule="exact"/>
        <w:rPr>
          <w:sz w:val="20"/>
          <w:szCs w:val="20"/>
          <w:color w:val="auto"/>
        </w:rPr>
      </w:pPr>
    </w:p>
    <w:p>
      <w:pPr>
        <w:ind w:firstLine="8"/>
        <w:spacing w:after="0" w:line="282" w:lineRule="auto"/>
        <w:tabs>
          <w:tab w:leader="none" w:pos="25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333-228839) pertaining to the 2014 Stock Incentive Plan and the 2017 Stock Incentive Plan of Aurora Mobile Limited,</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333-262205) pertaining to the 2021 Share Incentive Plan of Aurora Mobile Limited,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333-274505) pertaining to the 2023 Share Incentive Plan of Aurora Mobile Limited,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F-3 No. 333-290371) of Aurora Mobile Limited;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our report dated March 27, 2026, with respect to the consolidated financial statements of Aurora Mobile Limited included in this Annual Report (Form 20-F) of Aurora Mobile Limited for the year ended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Hua Ming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The People’s Republic of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5312410</wp:posOffset>
            </wp:positionH>
            <wp:positionV relativeFrom="paragraph">
              <wp:posOffset>156845</wp:posOffset>
            </wp:positionV>
            <wp:extent cx="986155" cy="4114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6">
                      <a:extLst>
                        <a:ext uri="{28A0092B-C50C-407E-A947-70E740481C1C}"/>
                      </a:extLst>
                    </a:blip>
                    <a:srcRect/>
                    <a:stretch>
                      <a:fillRect/>
                    </a:stretch>
                  </pic:blipFill>
                  <pic:spPr bwMode="auto">
                    <a:xfrm>
                      <a:off x="0" y="0"/>
                      <a:ext cx="9861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27,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31/F, Block 12-A, Shenzhen Bay Science and Technology Ecological Park,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Nanshan District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Guangdong 518057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Sir/Madam:</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hereby consent to the use of our name and the summary of our opinion under the headings, “Item 3. Key Information—D. Risk Factors—Risks Related to Our Corporate Structure”, “Item 4. Information on the Company—C. Organizational Structure” and “Item 4. Information on the Company—B. Business Overview—Regulations”, included in Aurora Mobile Limited’s Annual Report on Form 20-F for the year ended December 31, 2025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 which will be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in the month of March 2026, and further consent to the incorporation by reference of the summary of our opinion under these headings into the Registration Statement on Form F-3 (File No. 333-290371) of Aurora Mobile Limited, Registration Statement on Form S-8 (File No. 333-228839) pertaining to Aurora Mobile Limited’s 2014 Stock Incentive Plan and the 2017 Stock Incentive Plan, and into the Registration Statement on Form S-8 (File No. 333-262205) pertaining to Aurora Mobile Limited’s 2021 Share Incentive Plan and into the Registration Statement on Form S-8 (File No. 333-274505) pertaining to Aurora Mobile Limited’s 2023 Share Incentive Plan. We also consent to the filing of this consent letter with the SEC as an exhibit to the Annual Report.</w:t>
      </w:r>
    </w:p>
    <w:p>
      <w:pPr>
        <w:spacing w:after="0" w:line="1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Han Kun Law Offices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 Kun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214630</wp:posOffset>
            </wp:positionV>
            <wp:extent cx="156845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7">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b w:val="1"/>
          <w:bCs w:val="1"/>
          <w:color w:val="auto"/>
        </w:rPr>
        <w:t>CONFIDENTIALITY. This document contains confidential information which may be protected by privilege from disclosure. Unless you are the intended or authorised recipient, you shall not copy, print, use or distribute it or any part thereof or carry out any act pursuant thereto and shall advise Han Kun Law Offices immediately by telephone, e-mail or facsimile and return it promptly by mail.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330835</wp:posOffset>
            </wp:positionV>
            <wp:extent cx="629221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333"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540A471C"/>
    <w:multiLevelType w:val="hybridMultilevel"/>
    <w:lvl w:ilvl="0">
      <w:lvlJc w:val="left"/>
      <w:lvlText w:val="☐"/>
      <w:numFmt w:val="bullet"/>
      <w:start w:val="1"/>
    </w:lvl>
  </w:abstractNum>
  <w:abstractNum w:abstractNumId="1">
    <w:nsid w:val="7BD3EE7B"/>
    <w:multiLevelType w:val="hybridMultilevel"/>
    <w:lvl w:ilvl="0">
      <w:lvlJc w:val="left"/>
      <w:lvlText w:val="☒"/>
      <w:numFmt w:val="bullet"/>
      <w:start w:val="1"/>
    </w:lvl>
  </w:abstractNum>
  <w:abstractNum w:abstractNumId="2">
    <w:nsid w:val="51D9C564"/>
    <w:multiLevelType w:val="hybridMultilevel"/>
    <w:lvl w:ilvl="0">
      <w:lvlJc w:val="left"/>
      <w:lvlText w:val="☐"/>
      <w:numFmt w:val="bullet"/>
      <w:start w:val="1"/>
    </w:lvl>
  </w:abstractNum>
  <w:abstractNum w:abstractNumId="3">
    <w:nsid w:val="613EFDC5"/>
    <w:multiLevelType w:val="hybridMultilevel"/>
    <w:lvl w:ilvl="0">
      <w:lvlJc w:val="left"/>
      <w:lvlText w:val="☐"/>
      <w:numFmt w:val="bullet"/>
      <w:start w:val="1"/>
    </w:lvl>
  </w:abstractNum>
  <w:abstractNum w:abstractNumId="4">
    <w:nsid w:val="BF72B14"/>
    <w:multiLevelType w:val="hybridMultilevel"/>
    <w:lvl w:ilvl="0">
      <w:lvlJc w:val="left"/>
      <w:lvlText w:val="*"/>
      <w:numFmt w:val="bullet"/>
      <w:start w:val="1"/>
    </w:lvl>
  </w:abstractNum>
  <w:abstractNum w:abstractNumId="5">
    <w:nsid w:val="11447B73"/>
    <w:multiLevelType w:val="hybridMultilevel"/>
    <w:lvl w:ilvl="0">
      <w:lvlJc w:val="left"/>
      <w:lvlText w:val="†"/>
      <w:numFmt w:val="bullet"/>
      <w:start w:val="1"/>
    </w:lvl>
  </w:abstractNum>
  <w:abstractNum w:abstractNumId="6">
    <w:nsid w:val="42963E5A"/>
    <w:multiLevelType w:val="hybridMultilevel"/>
    <w:lvl w:ilvl="0">
      <w:lvlJc w:val="left"/>
      <w:lvlText w:val="☐"/>
      <w:numFmt w:val="bullet"/>
      <w:start w:val="1"/>
    </w:lvl>
  </w:abstractNum>
  <w:abstractNum w:abstractNumId="7">
    <w:nsid w:val="A0382C5"/>
    <w:multiLevelType w:val="hybridMultilevel"/>
    <w:lvl w:ilvl="0">
      <w:lvlJc w:val="left"/>
      <w:lvlText w:val="●"/>
      <w:numFmt w:val="bullet"/>
      <w:start w:val="1"/>
    </w:lvl>
  </w:abstractNum>
  <w:abstractNum w:abstractNumId="8">
    <w:nsid w:val="8F2B15E"/>
    <w:multiLevelType w:val="hybridMultilevel"/>
    <w:lvl w:ilvl="0">
      <w:lvlJc w:val="left"/>
      <w:lvlText w:val="●"/>
      <w:numFmt w:val="bullet"/>
      <w:start w:val="1"/>
    </w:lvl>
  </w:abstractNum>
  <w:abstractNum w:abstractNumId="9">
    <w:nsid w:val="1A32234B"/>
    <w:multiLevelType w:val="hybridMultilevel"/>
    <w:lvl w:ilvl="0">
      <w:lvlJc w:val="left"/>
      <w:lvlText w:val="-"/>
      <w:numFmt w:val="bullet"/>
      <w:start w:val="1"/>
    </w:lvl>
  </w:abstractNum>
  <w:abstractNum w:abstractNumId="10">
    <w:nsid w:val="3B0FD379"/>
    <w:multiLevelType w:val="hybridMultilevel"/>
    <w:lvl w:ilvl="0">
      <w:lvlJc w:val="left"/>
      <w:lvlText w:val="(%1)"/>
      <w:numFmt w:val="decimal"/>
      <w:start w:val="2"/>
    </w:lvl>
  </w:abstractNum>
  <w:abstractNum w:abstractNumId="11">
    <w:nsid w:val="68EB2F63"/>
    <w:multiLevelType w:val="hybridMultilevel"/>
    <w:lvl w:ilvl="0">
      <w:lvlJc w:val="left"/>
      <w:lvlText w:val="●"/>
      <w:numFmt w:val="bullet"/>
      <w:start w:val="1"/>
    </w:lvl>
  </w:abstractNum>
  <w:abstractNum w:abstractNumId="12">
    <w:nsid w:val="4962813B"/>
    <w:multiLevelType w:val="hybridMultilevel"/>
    <w:lvl w:ilvl="0">
      <w:lvlJc w:val="left"/>
      <w:lvlText w:val="●"/>
      <w:numFmt w:val="bullet"/>
      <w:start w:val="1"/>
    </w:lvl>
  </w:abstractNum>
  <w:abstractNum w:abstractNumId="13">
    <w:nsid w:val="60B6DF70"/>
    <w:multiLevelType w:val="hybridMultilevel"/>
    <w:lvl w:ilvl="0">
      <w:lvlJc w:val="left"/>
      <w:lvlText w:val="●"/>
      <w:numFmt w:val="bullet"/>
      <w:start w:val="1"/>
    </w:lvl>
  </w:abstractNum>
  <w:abstractNum w:abstractNumId="14">
    <w:nsid w:val="6A5EE64"/>
    <w:multiLevelType w:val="hybridMultilevel"/>
    <w:lvl w:ilvl="0">
      <w:lvlJc w:val="left"/>
      <w:lvlText w:val="●"/>
      <w:numFmt w:val="bullet"/>
      <w:start w:val="1"/>
    </w:lvl>
  </w:abstractNum>
  <w:abstractNum w:abstractNumId="15">
    <w:nsid w:val="14330624"/>
    <w:multiLevelType w:val="hybridMultilevel"/>
    <w:lvl w:ilvl="0">
      <w:lvlJc w:val="left"/>
      <w:lvlText w:val="●"/>
      <w:numFmt w:val="bullet"/>
      <w:start w:val="1"/>
    </w:lvl>
  </w:abstractNum>
  <w:abstractNum w:abstractNumId="16">
    <w:nsid w:val="7FFFCA11"/>
    <w:multiLevelType w:val="hybridMultilevel"/>
    <w:lvl w:ilvl="0">
      <w:lvlJc w:val="left"/>
      <w:lvlText w:val="●"/>
      <w:numFmt w:val="bullet"/>
      <w:start w:val="1"/>
    </w:lvl>
  </w:abstractNum>
  <w:abstractNum w:abstractNumId="17">
    <w:nsid w:val="1A27709E"/>
    <w:multiLevelType w:val="hybridMultilevel"/>
    <w:lvl w:ilvl="0">
      <w:lvlJc w:val="left"/>
      <w:lvlText w:val="●"/>
      <w:numFmt w:val="bullet"/>
      <w:start w:val="1"/>
    </w:lvl>
  </w:abstractNum>
  <w:abstractNum w:abstractNumId="18">
    <w:nsid w:val="71EA1109"/>
    <w:multiLevelType w:val="hybridMultilevel"/>
    <w:lvl w:ilvl="0">
      <w:lvlJc w:val="left"/>
      <w:lvlText w:val="●"/>
      <w:numFmt w:val="bullet"/>
      <w:start w:val="1"/>
    </w:lvl>
  </w:abstractNum>
  <w:abstractNum w:abstractNumId="19">
    <w:nsid w:val="100F59DC"/>
    <w:multiLevelType w:val="hybridMultilevel"/>
    <w:lvl w:ilvl="0">
      <w:lvlJc w:val="left"/>
      <w:lvlText w:val="●"/>
      <w:numFmt w:val="bullet"/>
      <w:start w:val="1"/>
    </w:lvl>
  </w:abstractNum>
  <w:abstractNum w:abstractNumId="20">
    <w:nsid w:val="7FB7E0AA"/>
    <w:multiLevelType w:val="hybridMultilevel"/>
    <w:lvl w:ilvl="0">
      <w:lvlJc w:val="left"/>
      <w:lvlText w:val="●"/>
      <w:numFmt w:val="bullet"/>
      <w:start w:val="1"/>
    </w:lvl>
  </w:abstractNum>
  <w:abstractNum w:abstractNumId="21">
    <w:nsid w:val="6EB5BD4"/>
    <w:multiLevelType w:val="hybridMultilevel"/>
    <w:lvl w:ilvl="0">
      <w:lvlJc w:val="left"/>
      <w:lvlText w:val="●"/>
      <w:numFmt w:val="bullet"/>
      <w:start w:val="1"/>
    </w:lvl>
  </w:abstractNum>
  <w:abstractNum w:abstractNumId="22">
    <w:nsid w:val="6F6DD9AC"/>
    <w:multiLevelType w:val="hybridMultilevel"/>
    <w:lvl w:ilvl="0">
      <w:lvlJc w:val="left"/>
      <w:lvlText w:val="●"/>
      <w:numFmt w:val="bullet"/>
      <w:start w:val="1"/>
    </w:lvl>
  </w:abstractNum>
  <w:abstractNum w:abstractNumId="23">
    <w:nsid w:val="94211F2"/>
    <w:multiLevelType w:val="hybridMultilevel"/>
    <w:lvl w:ilvl="0">
      <w:lvlJc w:val="left"/>
      <w:lvlText w:val="●"/>
      <w:numFmt w:val="bullet"/>
      <w:start w:val="1"/>
    </w:lvl>
  </w:abstractNum>
  <w:abstractNum w:abstractNumId="24">
    <w:nsid w:val="885E1B"/>
    <w:multiLevelType w:val="hybridMultilevel"/>
    <w:lvl w:ilvl="0">
      <w:lvlJc w:val="left"/>
      <w:lvlText w:val="●"/>
      <w:numFmt w:val="bullet"/>
      <w:start w:val="1"/>
    </w:lvl>
  </w:abstractNum>
  <w:abstractNum w:abstractNumId="25">
    <w:nsid w:val="76272110"/>
    <w:multiLevelType w:val="hybridMultilevel"/>
    <w:lvl w:ilvl="0">
      <w:lvlJc w:val="left"/>
      <w:lvlText w:val="●"/>
      <w:numFmt w:val="bullet"/>
      <w:start w:val="1"/>
    </w:lvl>
  </w:abstractNum>
  <w:abstractNum w:abstractNumId="26">
    <w:nsid w:val="4C04A8AF"/>
    <w:multiLevelType w:val="hybridMultilevel"/>
    <w:lvl w:ilvl="0">
      <w:lvlJc w:val="left"/>
      <w:lvlText w:val="●"/>
      <w:numFmt w:val="bullet"/>
      <w:start w:val="1"/>
    </w:lvl>
  </w:abstractNum>
  <w:abstractNum w:abstractNumId="27">
    <w:nsid w:val="1716703B"/>
    <w:multiLevelType w:val="hybridMultilevel"/>
    <w:lvl w:ilvl="0">
      <w:lvlJc w:val="left"/>
      <w:lvlText w:val="(%1)"/>
      <w:numFmt w:val="lowerRoman"/>
      <w:start w:val="2"/>
    </w:lvl>
  </w:abstractNum>
  <w:abstractNum w:abstractNumId="28">
    <w:nsid w:val="14E17E33"/>
    <w:multiLevelType w:val="hybridMultilevel"/>
    <w:lvl w:ilvl="0">
      <w:lvlJc w:val="left"/>
      <w:lvlText w:val="●"/>
      <w:numFmt w:val="bullet"/>
      <w:start w:val="1"/>
    </w:lvl>
  </w:abstractNum>
  <w:abstractNum w:abstractNumId="29">
    <w:nsid w:val="3222E7CD"/>
    <w:multiLevelType w:val="hybridMultilevel"/>
    <w:lvl w:ilvl="0">
      <w:lvlJc w:val="left"/>
      <w:lvlText w:val="●"/>
      <w:numFmt w:val="bullet"/>
      <w:start w:val="1"/>
    </w:lvl>
  </w:abstractNum>
  <w:abstractNum w:abstractNumId="30">
    <w:nsid w:val="74DE0EE3"/>
    <w:multiLevelType w:val="hybridMultilevel"/>
    <w:lvl w:ilvl="0">
      <w:lvlJc w:val="left"/>
      <w:lvlText w:val="%1."/>
      <w:numFmt w:val="upperLetter"/>
      <w:start w:val="1"/>
    </w:lvl>
  </w:abstractNum>
  <w:abstractNum w:abstractNumId="31">
    <w:nsid w:val="68EBC550"/>
    <w:multiLevelType w:val="hybridMultilevel"/>
    <w:lvl w:ilvl="0">
      <w:lvlJc w:val="left"/>
      <w:lvlText w:val="%1."/>
      <w:numFmt w:val="upperLetter"/>
      <w:start w:val="2"/>
    </w:lvl>
  </w:abstractNum>
  <w:abstractNum w:abstractNumId="32">
    <w:nsid w:val="2DF6D648"/>
    <w:multiLevelType w:val="hybridMultilevel"/>
    <w:lvl w:ilvl="0">
      <w:lvlJc w:val="left"/>
      <w:lvlText w:val="●"/>
      <w:numFmt w:val="bullet"/>
      <w:start w:val="1"/>
    </w:lvl>
  </w:abstractNum>
  <w:abstractNum w:abstractNumId="33">
    <w:nsid w:val="46B7D447"/>
    <w:multiLevelType w:val="hybridMultilevel"/>
    <w:lvl w:ilvl="0">
      <w:lvlJc w:val="left"/>
      <w:lvlText w:val="●"/>
      <w:numFmt w:val="bullet"/>
      <w:start w:val="1"/>
    </w:lvl>
  </w:abstractNum>
  <w:abstractNum w:abstractNumId="34">
    <w:nsid w:val="4A2AC315"/>
    <w:multiLevelType w:val="hybridMultilevel"/>
    <w:lvl w:ilvl="0">
      <w:lvlJc w:val="left"/>
      <w:lvlText w:val="●"/>
      <w:numFmt w:val="bullet"/>
      <w:start w:val="1"/>
    </w:lvl>
  </w:abstractNum>
  <w:abstractNum w:abstractNumId="35">
    <w:nsid w:val="39EE015C"/>
    <w:multiLevelType w:val="hybridMultilevel"/>
    <w:lvl w:ilvl="0">
      <w:lvlJc w:val="left"/>
      <w:lvlText w:val="●"/>
      <w:numFmt w:val="bullet"/>
      <w:start w:val="1"/>
    </w:lvl>
  </w:abstractNum>
  <w:abstractNum w:abstractNumId="36">
    <w:nsid w:val="57FC4FBB"/>
    <w:multiLevelType w:val="hybridMultilevel"/>
    <w:lvl w:ilvl="0">
      <w:lvlJc w:val="left"/>
      <w:lvlText w:val="●"/>
      <w:numFmt w:val="bullet"/>
      <w:start w:val="1"/>
    </w:lvl>
  </w:abstractNum>
  <w:abstractNum w:abstractNumId="37">
    <w:nsid w:val="CC1016F"/>
    <w:multiLevelType w:val="hybridMultilevel"/>
    <w:lvl w:ilvl="0">
      <w:lvlJc w:val="left"/>
      <w:lvlText w:val="●"/>
      <w:numFmt w:val="bullet"/>
      <w:start w:val="1"/>
    </w:lvl>
  </w:abstractNum>
  <w:abstractNum w:abstractNumId="38">
    <w:nsid w:val="43F18422"/>
    <w:multiLevelType w:val="hybridMultilevel"/>
    <w:lvl w:ilvl="0">
      <w:lvlJc w:val="left"/>
      <w:lvlText w:val="●"/>
      <w:numFmt w:val="bullet"/>
      <w:start w:val="1"/>
    </w:lvl>
  </w:abstractNum>
  <w:abstractNum w:abstractNumId="39">
    <w:nsid w:val="60EF0119"/>
    <w:multiLevelType w:val="hybridMultilevel"/>
    <w:lvl w:ilvl="0">
      <w:lvlJc w:val="left"/>
      <w:lvlText w:val="(%1)"/>
      <w:numFmt w:val="lowerRoman"/>
      <w:start w:val="1"/>
    </w:lvl>
  </w:abstractNum>
  <w:abstractNum w:abstractNumId="40">
    <w:nsid w:val="26F324BA"/>
    <w:multiLevelType w:val="hybridMultilevel"/>
    <w:lvl w:ilvl="0">
      <w:lvlJc w:val="left"/>
      <w:lvlText w:val="(%1)"/>
      <w:numFmt w:val="decimal"/>
      <w:start w:val="1"/>
    </w:lvl>
  </w:abstractNum>
  <w:abstractNum w:abstractNumId="41">
    <w:nsid w:val="7F01579B"/>
    <w:multiLevelType w:val="hybridMultilevel"/>
    <w:lvl w:ilvl="0">
      <w:lvlJc w:val="left"/>
      <w:lvlText w:val="(%1)"/>
      <w:numFmt w:val="lowerRoman"/>
      <w:start w:val="2"/>
    </w:lvl>
  </w:abstractNum>
  <w:abstractNum w:abstractNumId="42">
    <w:nsid w:val="49DA307D"/>
    <w:multiLevelType w:val="hybridMultilevel"/>
    <w:lvl w:ilvl="0">
      <w:lvlJc w:val="left"/>
      <w:lvlText w:val="(%1)"/>
      <w:numFmt w:val="lowerRoman"/>
      <w:start w:val="7"/>
    </w:lvl>
  </w:abstractNum>
  <w:abstractNum w:abstractNumId="43">
    <w:nsid w:val="7055A5F5"/>
    <w:multiLevelType w:val="hybridMultilevel"/>
    <w:lvl w:ilvl="0">
      <w:lvlJc w:val="left"/>
      <w:lvlText w:val="(%1)"/>
      <w:numFmt w:val="lowerRoman"/>
      <w:start w:val="2"/>
    </w:lvl>
  </w:abstractNum>
  <w:abstractNum w:abstractNumId="44">
    <w:nsid w:val="5FB8370B"/>
    <w:multiLevelType w:val="hybridMultilevel"/>
    <w:lvl w:ilvl="0">
      <w:lvlJc w:val="left"/>
      <w:lvlText w:val="●"/>
      <w:numFmt w:val="bullet"/>
      <w:start w:val="1"/>
    </w:lvl>
  </w:abstractNum>
  <w:abstractNum w:abstractNumId="45">
    <w:nsid w:val="50801EE1"/>
    <w:multiLevelType w:val="hybridMultilevel"/>
    <w:lvl w:ilvl="0">
      <w:lvlJc w:val="left"/>
      <w:lvlText w:val="●"/>
      <w:numFmt w:val="bullet"/>
      <w:start w:val="1"/>
    </w:lvl>
  </w:abstractNum>
  <w:abstractNum w:abstractNumId="46">
    <w:nsid w:val="488AC1A"/>
    <w:multiLevelType w:val="hybridMultilevel"/>
    <w:lvl w:ilvl="0">
      <w:lvlJc w:val="left"/>
      <w:lvlText w:val="%1."/>
      <w:numFmt w:val="upperLetter"/>
      <w:start w:val="3"/>
    </w:lvl>
  </w:abstractNum>
  <w:abstractNum w:abstractNumId="47">
    <w:nsid w:val="5FB8011C"/>
    <w:multiLevelType w:val="hybridMultilevel"/>
    <w:lvl w:ilvl="0">
      <w:lvlJc w:val="left"/>
      <w:lvlText w:val="(%1)"/>
      <w:numFmt w:val="decimal"/>
      <w:start w:val="1"/>
    </w:lvl>
  </w:abstractNum>
  <w:abstractNum w:abstractNumId="48">
    <w:nsid w:val="6AA78F7F"/>
    <w:multiLevelType w:val="hybridMultilevel"/>
    <w:lvl w:ilvl="0">
      <w:lvlJc w:val="left"/>
      <w:lvlText w:val="●"/>
      <w:numFmt w:val="bullet"/>
      <w:start w:val="1"/>
    </w:lvl>
  </w:abstractNum>
  <w:abstractNum w:abstractNumId="49">
    <w:nsid w:val="7672BD23"/>
    <w:multiLevelType w:val="hybridMultilevel"/>
    <w:lvl w:ilvl="0">
      <w:lvlJc w:val="left"/>
      <w:lvlText w:val="%1."/>
      <w:numFmt w:val="upperLetter"/>
      <w:start w:val="4"/>
    </w:lvl>
  </w:abstractNum>
  <w:abstractNum w:abstractNumId="50">
    <w:nsid w:val="6FC75AF8"/>
    <w:multiLevelType w:val="hybridMultilevel"/>
    <w:lvl w:ilvl="0">
      <w:lvlJc w:val="left"/>
      <w:lvlText w:val="%1."/>
      <w:numFmt w:val="upperLetter"/>
      <w:start w:val="1"/>
    </w:lvl>
  </w:abstractNum>
  <w:abstractNum w:abstractNumId="51">
    <w:nsid w:val="6A5F7029"/>
    <w:multiLevelType w:val="hybridMultilevel"/>
    <w:lvl w:ilvl="0">
      <w:lvlJc w:val="left"/>
      <w:lvlText w:val="●"/>
      <w:numFmt w:val="bullet"/>
      <w:start w:val="1"/>
    </w:lvl>
  </w:abstractNum>
  <w:abstractNum w:abstractNumId="52">
    <w:nsid w:val="7D5E18F8"/>
    <w:multiLevelType w:val="hybridMultilevel"/>
    <w:lvl w:ilvl="0">
      <w:lvlJc w:val="left"/>
      <w:lvlText w:val="(%1)"/>
      <w:numFmt w:val="decimal"/>
      <w:start w:val="1"/>
    </w:lvl>
  </w:abstractNum>
  <w:abstractNum w:abstractNumId="53">
    <w:nsid w:val="5F3534A4"/>
    <w:multiLevelType w:val="hybridMultilevel"/>
    <w:lvl w:ilvl="0">
      <w:lvlJc w:val="left"/>
      <w:lvlText w:val="%1."/>
      <w:numFmt w:val="upperLetter"/>
      <w:start w:val="2"/>
    </w:lvl>
  </w:abstractNum>
  <w:abstractNum w:abstractNumId="54">
    <w:nsid w:val="73A1821B"/>
    <w:multiLevelType w:val="hybridMultilevel"/>
    <w:lvl w:ilvl="0">
      <w:lvlJc w:val="left"/>
      <w:lvlText w:val="●"/>
      <w:numFmt w:val="bullet"/>
      <w:start w:val="1"/>
    </w:lvl>
  </w:abstractNum>
  <w:abstractNum w:abstractNumId="55">
    <w:nsid w:val="7DE67713"/>
    <w:multiLevelType w:val="hybridMultilevel"/>
    <w:lvl w:ilvl="0">
      <w:lvlJc w:val="left"/>
      <w:lvlText w:val="%1."/>
      <w:numFmt w:val="upperLetter"/>
      <w:start w:val="3"/>
    </w:lvl>
  </w:abstractNum>
  <w:abstractNum w:abstractNumId="56">
    <w:nsid w:val="555C55B5"/>
    <w:multiLevelType w:val="hybridMultilevel"/>
    <w:lvl w:ilvl="0">
      <w:lvlJc w:val="left"/>
      <w:lvlText w:val="%1."/>
      <w:numFmt w:val="upperLetter"/>
      <w:start w:val="4"/>
    </w:lvl>
  </w:abstractNum>
  <w:abstractNum w:abstractNumId="57">
    <w:nsid w:val="3FA62ACA"/>
    <w:multiLevelType w:val="hybridMultilevel"/>
    <w:lvl w:ilvl="0">
      <w:lvlJc w:val="left"/>
      <w:lvlText w:val="%1."/>
      <w:numFmt w:val="upperLetter"/>
      <w:start w:val="5"/>
    </w:lvl>
  </w:abstractNum>
  <w:abstractNum w:abstractNumId="58">
    <w:nsid w:val="14FCE74E"/>
    <w:multiLevelType w:val="hybridMultilevel"/>
    <w:lvl w:ilvl="0">
      <w:lvlJc w:val="left"/>
      <w:lvlText w:val="%1."/>
      <w:numFmt w:val="upperLetter"/>
      <w:start w:val="1"/>
    </w:lvl>
  </w:abstractNum>
  <w:abstractNum w:abstractNumId="59">
    <w:nsid w:val="6A3DD3E8"/>
    <w:multiLevelType w:val="hybridMultilevel"/>
    <w:lvl w:ilvl="0">
      <w:lvlJc w:val="left"/>
      <w:lvlText w:val="%1."/>
      <w:numFmt w:val="upperLetter"/>
      <w:start w:val="2"/>
    </w:lvl>
  </w:abstractNum>
  <w:abstractNum w:abstractNumId="60">
    <w:nsid w:val="71C91298"/>
    <w:multiLevelType w:val="hybridMultilevel"/>
    <w:lvl w:ilvl="0">
      <w:lvlJc w:val="left"/>
      <w:lvlText w:val="%1."/>
      <w:numFmt w:val="upperLetter"/>
      <w:start w:val="3"/>
    </w:lvl>
  </w:abstractNum>
  <w:abstractNum w:abstractNumId="61">
    <w:nsid w:val="9DAF632"/>
    <w:multiLevelType w:val="hybridMultilevel"/>
    <w:lvl w:ilvl="0">
      <w:lvlJc w:val="left"/>
      <w:lvlText w:val="●"/>
      <w:numFmt w:val="bullet"/>
      <w:start w:val="1"/>
    </w:lvl>
  </w:abstractNum>
  <w:abstractNum w:abstractNumId="62">
    <w:nsid w:val="53299938"/>
    <w:multiLevelType w:val="hybridMultilevel"/>
    <w:lvl w:ilvl="0">
      <w:lvlJc w:val="left"/>
      <w:lvlText w:val="●"/>
      <w:numFmt w:val="bullet"/>
      <w:start w:val="1"/>
    </w:lvl>
  </w:abstractNum>
  <w:abstractNum w:abstractNumId="63">
    <w:nsid w:val="1FBFE8E0"/>
    <w:multiLevelType w:val="hybridMultilevel"/>
    <w:lvl w:ilvl="0">
      <w:lvlJc w:val="left"/>
      <w:lvlText w:val="●"/>
      <w:numFmt w:val="bullet"/>
      <w:start w:val="1"/>
    </w:lvl>
  </w:abstractNum>
  <w:abstractNum w:abstractNumId="64">
    <w:nsid w:val="5092CA79"/>
    <w:multiLevelType w:val="hybridMultilevel"/>
    <w:lvl w:ilvl="0">
      <w:lvlJc w:val="left"/>
      <w:lvlText w:val="●"/>
      <w:numFmt w:val="bullet"/>
      <w:start w:val="1"/>
    </w:lvl>
  </w:abstractNum>
  <w:abstractNum w:abstractNumId="65">
    <w:nsid w:val="1D545C4D"/>
    <w:multiLevelType w:val="hybridMultilevel"/>
    <w:lvl w:ilvl="0">
      <w:lvlJc w:val="left"/>
      <w:lvlText w:val="●"/>
      <w:numFmt w:val="bullet"/>
      <w:start w:val="1"/>
    </w:lvl>
  </w:abstractNum>
  <w:abstractNum w:abstractNumId="66">
    <w:nsid w:val="59ADEA3D"/>
    <w:multiLevelType w:val="hybridMultilevel"/>
    <w:lvl w:ilvl="0">
      <w:lvlJc w:val="left"/>
      <w:lvlText w:val="%1."/>
      <w:numFmt w:val="upperLetter"/>
      <w:start w:val="5"/>
    </w:lvl>
  </w:abstractNum>
  <w:abstractNum w:abstractNumId="67">
    <w:nsid w:val="288F1A34"/>
    <w:multiLevelType w:val="hybridMultilevel"/>
    <w:lvl w:ilvl="0">
      <w:lvlJc w:val="left"/>
      <w:lvlText w:val="●"/>
      <w:numFmt w:val="bullet"/>
      <w:start w:val="1"/>
    </w:lvl>
  </w:abstractNum>
  <w:abstractNum w:abstractNumId="68">
    <w:nsid w:val="2A155DBC"/>
    <w:multiLevelType w:val="hybridMultilevel"/>
    <w:lvl w:ilvl="0">
      <w:lvlJc w:val="left"/>
      <w:lvlText w:val="†"/>
      <w:numFmt w:val="bullet"/>
      <w:start w:val="1"/>
    </w:lvl>
  </w:abstractNum>
  <w:abstractNum w:abstractNumId="69">
    <w:nsid w:val="1D9F6E5F"/>
    <w:multiLevelType w:val="hybridMultilevel"/>
    <w:lvl w:ilvl="0">
      <w:lvlJc w:val="left"/>
      <w:lvlText w:val="**"/>
      <w:numFmt w:val="bullet"/>
      <w:start w:val="1"/>
    </w:lvl>
  </w:abstractNum>
  <w:abstractNum w:abstractNumId="70">
    <w:nsid w:val="97E1B4E"/>
    <w:multiLevelType w:val="hybridMultilevel"/>
    <w:lvl w:ilvl="0">
      <w:lvlJc w:val="left"/>
      <w:lvlText w:val="(%1)"/>
      <w:numFmt w:val="decimal"/>
      <w:start w:val="1"/>
    </w:lvl>
  </w:abstractNum>
  <w:abstractNum w:abstractNumId="71">
    <w:nsid w:val="51088277"/>
    <w:multiLevelType w:val="hybridMultilevel"/>
    <w:lvl w:ilvl="0">
      <w:lvlJc w:val="left"/>
      <w:lvlText w:val="(%1)"/>
      <w:numFmt w:val="decimal"/>
      <w:start w:val="2"/>
    </w:lvl>
  </w:abstractNum>
  <w:abstractNum w:abstractNumId="72">
    <w:nsid w:val="1CA0C5FA"/>
    <w:multiLevelType w:val="hybridMultilevel"/>
    <w:lvl w:ilvl="0">
      <w:lvlJc w:val="left"/>
      <w:lvlText w:val="%1."/>
      <w:numFmt w:val="upperLetter"/>
      <w:start w:val="6"/>
    </w:lvl>
  </w:abstractNum>
  <w:abstractNum w:abstractNumId="73">
    <w:nsid w:val="53584BCB"/>
    <w:multiLevelType w:val="hybridMultilevel"/>
    <w:lvl w:ilvl="0">
      <w:lvlJc w:val="left"/>
      <w:lvlText w:val="%1."/>
      <w:numFmt w:val="upperLetter"/>
      <w:start w:val="1"/>
    </w:lvl>
  </w:abstractNum>
  <w:abstractNum w:abstractNumId="74">
    <w:nsid w:val="415E286C"/>
    <w:multiLevelType w:val="hybridMultilevel"/>
    <w:lvl w:ilvl="0">
      <w:lvlJc w:val="left"/>
      <w:lvlText w:val="%1."/>
      <w:numFmt w:val="upperLetter"/>
      <w:start w:val="2"/>
    </w:lvl>
  </w:abstractNum>
  <w:abstractNum w:abstractNumId="75">
    <w:nsid w:val="7C58FD05"/>
    <w:multiLevelType w:val="hybridMultilevel"/>
    <w:lvl w:ilvl="0">
      <w:lvlJc w:val="left"/>
      <w:lvlText w:val="%1."/>
      <w:numFmt w:val="upperLetter"/>
      <w:start w:val="3"/>
    </w:lvl>
  </w:abstractNum>
  <w:abstractNum w:abstractNumId="76">
    <w:nsid w:val="23D86AAC"/>
    <w:multiLevelType w:val="hybridMultilevel"/>
    <w:lvl w:ilvl="0">
      <w:lvlJc w:val="left"/>
      <w:lvlText w:val="%1."/>
      <w:numFmt w:val="upperLetter"/>
      <w:start w:val="1"/>
    </w:lvl>
  </w:abstractNum>
  <w:abstractNum w:abstractNumId="77">
    <w:nsid w:val="45E6D486"/>
    <w:multiLevelType w:val="hybridMultilevel"/>
    <w:lvl w:ilvl="0">
      <w:lvlJc w:val="left"/>
      <w:lvlText w:val="%1."/>
      <w:numFmt w:val="upperLetter"/>
      <w:start w:val="2"/>
    </w:lvl>
  </w:abstractNum>
  <w:abstractNum w:abstractNumId="78">
    <w:nsid w:val="5C10FE21"/>
    <w:multiLevelType w:val="hybridMultilevel"/>
    <w:lvl w:ilvl="0">
      <w:lvlJc w:val="left"/>
      <w:lvlText w:val="%1."/>
      <w:numFmt w:val="upperLetter"/>
      <w:start w:val="1"/>
    </w:lvl>
  </w:abstractNum>
  <w:abstractNum w:abstractNumId="79">
    <w:nsid w:val="E7FFA2B"/>
    <w:multiLevelType w:val="hybridMultilevel"/>
    <w:lvl w:ilvl="0">
      <w:lvlJc w:val="left"/>
      <w:lvlText w:val="%1."/>
      <w:numFmt w:val="upperLetter"/>
      <w:start w:val="3"/>
    </w:lvl>
  </w:abstractNum>
  <w:abstractNum w:abstractNumId="80">
    <w:nsid w:val="3C5991AA"/>
    <w:multiLevelType w:val="hybridMultilevel"/>
    <w:lvl w:ilvl="0">
      <w:lvlJc w:val="left"/>
      <w:lvlText w:val="%1."/>
      <w:numFmt w:val="upperLetter"/>
      <w:start w:val="4"/>
    </w:lvl>
  </w:abstractNum>
  <w:abstractNum w:abstractNumId="81">
    <w:nsid w:val="4BD8591A"/>
    <w:multiLevelType w:val="hybridMultilevel"/>
    <w:lvl w:ilvl="0">
      <w:lvlJc w:val="left"/>
      <w:lvlText w:val="%1."/>
      <w:numFmt w:val="upperLetter"/>
      <w:start w:val="6"/>
    </w:lvl>
  </w:abstractNum>
  <w:abstractNum w:abstractNumId="82">
    <w:nsid w:val="78DF6A55"/>
    <w:multiLevelType w:val="hybridMultilevel"/>
    <w:lvl w:ilvl="0">
      <w:lvlJc w:val="left"/>
      <w:lvlText w:val="%1."/>
      <w:numFmt w:val="upperLetter"/>
      <w:start w:val="1"/>
    </w:lvl>
  </w:abstractNum>
  <w:abstractNum w:abstractNumId="83">
    <w:nsid w:val="39B7AAA2"/>
    <w:multiLevelType w:val="hybridMultilevel"/>
    <w:lvl w:ilvl="0">
      <w:lvlJc w:val="left"/>
      <w:lvlText w:val="%1."/>
      <w:numFmt w:val="upperLetter"/>
      <w:start w:val="2"/>
    </w:lvl>
  </w:abstractNum>
  <w:abstractNum w:abstractNumId="84">
    <w:nsid w:val="2B0D8DBE"/>
    <w:multiLevelType w:val="hybridMultilevel"/>
    <w:lvl w:ilvl="0">
      <w:lvlJc w:val="left"/>
      <w:lvlText w:val="●"/>
      <w:numFmt w:val="bullet"/>
      <w:start w:val="1"/>
    </w:lvl>
  </w:abstractNum>
  <w:abstractNum w:abstractNumId="85">
    <w:nsid w:val="6C80EC70"/>
    <w:multiLevelType w:val="hybridMultilevel"/>
    <w:lvl w:ilvl="0">
      <w:lvlJc w:val="left"/>
      <w:lvlText w:val="●"/>
      <w:numFmt w:val="bullet"/>
      <w:start w:val="1"/>
    </w:lvl>
  </w:abstractNum>
  <w:abstractNum w:abstractNumId="86">
    <w:nsid w:val="379E21B5"/>
    <w:multiLevelType w:val="hybridMultilevel"/>
    <w:lvl w:ilvl="0">
      <w:lvlJc w:val="left"/>
      <w:lvlText w:val="●"/>
      <w:numFmt w:val="bullet"/>
      <w:start w:val="1"/>
    </w:lvl>
  </w:abstractNum>
  <w:abstractNum w:abstractNumId="87">
    <w:nsid w:val="69E373"/>
    <w:multiLevelType w:val="hybridMultilevel"/>
    <w:lvl w:ilvl="0">
      <w:lvlJc w:val="left"/>
      <w:lvlText w:val="●"/>
      <w:numFmt w:val="bullet"/>
      <w:start w:val="1"/>
    </w:lvl>
  </w:abstractNum>
  <w:abstractNum w:abstractNumId="88">
    <w:nsid w:val="2C27173B"/>
    <w:multiLevelType w:val="hybridMultilevel"/>
    <w:lvl w:ilvl="0">
      <w:lvlJc w:val="left"/>
      <w:lvlText w:val="%1."/>
      <w:numFmt w:val="upperLetter"/>
      <w:start w:val="3"/>
    </w:lvl>
  </w:abstractNum>
  <w:abstractNum w:abstractNumId="89">
    <w:nsid w:val="4C9B0904"/>
    <w:multiLevelType w:val="hybridMultilevel"/>
    <w:lvl w:ilvl="0">
      <w:lvlJc w:val="left"/>
      <w:lvlText w:val="%1."/>
      <w:numFmt w:val="upperLetter"/>
      <w:start w:val="4"/>
    </w:lvl>
  </w:abstractNum>
  <w:abstractNum w:abstractNumId="90">
    <w:nsid w:val="6AA7B75C"/>
    <w:multiLevelType w:val="hybridMultilevel"/>
    <w:lvl w:ilvl="0">
      <w:lvlJc w:val="left"/>
      <w:lvlText w:val="%1."/>
      <w:numFmt w:val="upperLetter"/>
      <w:start w:val="5"/>
    </w:lvl>
  </w:abstractNum>
  <w:abstractNum w:abstractNumId="91">
    <w:nsid w:val="1DF029D3"/>
    <w:multiLevelType w:val="hybridMultilevel"/>
    <w:lvl w:ilvl="0">
      <w:lvlJc w:val="left"/>
      <w:lvlText w:val="(%1)"/>
      <w:numFmt w:val="lowerRoman"/>
      <w:start w:val="2"/>
    </w:lvl>
  </w:abstractNum>
  <w:abstractNum w:abstractNumId="92">
    <w:nsid w:val="5675FF36"/>
    <w:multiLevelType w:val="hybridMultilevel"/>
    <w:lvl w:ilvl="0">
      <w:lvlJc w:val="left"/>
      <w:lvlText w:val="●"/>
      <w:numFmt w:val="bullet"/>
      <w:start w:val="1"/>
    </w:lvl>
  </w:abstractNum>
  <w:abstractNum w:abstractNumId="93">
    <w:nsid w:val="3DD15094"/>
    <w:multiLevelType w:val="hybridMultilevel"/>
    <w:lvl w:ilvl="0">
      <w:lvlJc w:val="left"/>
      <w:lvlText w:val="●"/>
      <w:numFmt w:val="bullet"/>
      <w:start w:val="1"/>
    </w:lvl>
  </w:abstractNum>
  <w:abstractNum w:abstractNumId="94">
    <w:nsid w:val="3DB012B3"/>
    <w:multiLevelType w:val="hybridMultilevel"/>
    <w:lvl w:ilvl="0">
      <w:lvlJc w:val="left"/>
      <w:lvlText w:val="●"/>
      <w:numFmt w:val="bullet"/>
      <w:start w:val="1"/>
    </w:lvl>
  </w:abstractNum>
  <w:abstractNum w:abstractNumId="95">
    <w:nsid w:val="2708C9AF"/>
    <w:multiLevelType w:val="hybridMultilevel"/>
    <w:lvl w:ilvl="0">
      <w:lvlJc w:val="left"/>
      <w:lvlText w:val="●"/>
      <w:numFmt w:val="bullet"/>
      <w:start w:val="1"/>
    </w:lvl>
  </w:abstractNum>
  <w:abstractNum w:abstractNumId="96">
    <w:nsid w:val="5B25ACE2"/>
    <w:multiLevelType w:val="hybridMultilevel"/>
    <w:lvl w:ilvl="0">
      <w:lvlJc w:val="left"/>
      <w:lvlText w:val="%1."/>
      <w:numFmt w:val="upperLetter"/>
      <w:start w:val="6"/>
    </w:lvl>
  </w:abstractNum>
  <w:abstractNum w:abstractNumId="97">
    <w:nsid w:val="175DFCF0"/>
    <w:multiLevelType w:val="hybridMultilevel"/>
    <w:lvl w:ilvl="0">
      <w:lvlJc w:val="left"/>
      <w:lvlText w:val="%1."/>
      <w:numFmt w:val="upperLetter"/>
      <w:start w:val="8"/>
    </w:lvl>
  </w:abstractNum>
  <w:abstractNum w:abstractNumId="98">
    <w:nsid w:val="4F97E3E4"/>
    <w:multiLevelType w:val="hybridMultilevel"/>
    <w:lvl w:ilvl="0">
      <w:lvlJc w:val="left"/>
      <w:lvlText w:val="%1."/>
      <w:numFmt w:val="upperLetter"/>
      <w:start w:val="9"/>
    </w:lvl>
  </w:abstractNum>
  <w:abstractNum w:abstractNumId="99">
    <w:nsid w:val="53B0A9E"/>
    <w:multiLevelType w:val="hybridMultilevel"/>
    <w:lvl w:ilvl="0">
      <w:lvlJc w:val="left"/>
      <w:lvlText w:val="%1."/>
      <w:numFmt w:val="upperLetter"/>
      <w:start w:val="1"/>
    </w:lvl>
  </w:abstractNum>
  <w:abstractNum w:abstractNumId="100">
    <w:nsid w:val="34FD6B4F"/>
    <w:multiLevelType w:val="hybridMultilevel"/>
    <w:lvl w:ilvl="0">
      <w:lvlJc w:val="left"/>
      <w:lvlText w:val="●"/>
      <w:numFmt w:val="bullet"/>
      <w:start w:val="1"/>
    </w:lvl>
  </w:abstractNum>
  <w:abstractNum w:abstractNumId="101">
    <w:nsid w:val="5915FF32"/>
    <w:multiLevelType w:val="hybridMultilevel"/>
    <w:lvl w:ilvl="0">
      <w:lvlJc w:val="left"/>
      <w:lvlText w:val="(%1)"/>
      <w:numFmt w:val="decimal"/>
      <w:start w:val="1"/>
    </w:lvl>
  </w:abstractNum>
  <w:abstractNum w:abstractNumId="102">
    <w:nsid w:val="56438D15"/>
    <w:multiLevelType w:val="hybridMultilevel"/>
    <w:lvl w:ilvl="0">
      <w:lvlJc w:val="left"/>
      <w:lvlText w:val="*"/>
      <w:numFmt w:val="bullet"/>
      <w:start w:val="1"/>
    </w:lvl>
  </w:abstractNum>
  <w:abstractNum w:abstractNumId="103">
    <w:nsid w:val="519E3149"/>
    <w:multiLevelType w:val="hybridMultilevel"/>
    <w:lvl w:ilvl="0">
      <w:lvlJc w:val="left"/>
      <w:lvlText w:val="**"/>
      <w:numFmt w:val="bullet"/>
      <w:start w:val="1"/>
    </w:lvl>
  </w:abstractNum>
  <w:abstractNum w:abstractNumId="104">
    <w:nsid w:val="2C6E4AFD"/>
    <w:multiLevelType w:val="hybridMultilevel"/>
    <w:lvl w:ilvl="0">
      <w:lvlJc w:val="left"/>
      <w:lvlText w:val="#"/>
      <w:numFmt w:val="bullet"/>
      <w:start w:val="1"/>
    </w:lvl>
  </w:abstractNum>
  <w:abstractNum w:abstractNumId="105">
    <w:nsid w:val="17A1B582"/>
    <w:multiLevelType w:val="hybridMultilevel"/>
    <w:lvl w:ilvl="0">
      <w:lvlJc w:val="left"/>
      <w:lvlText w:val="(%1)"/>
      <w:numFmt w:val="lowerRoman"/>
      <w:start w:val="1"/>
    </w:lvl>
  </w:abstractNum>
  <w:abstractNum w:abstractNumId="106">
    <w:nsid w:val="4DF72E4E"/>
    <w:multiLevelType w:val="hybridMultilevel"/>
    <w:lvl w:ilvl="0">
      <w:lvlJc w:val="left"/>
      <w:lvlText w:val="1"/>
      <w:numFmt w:val="bullet"/>
      <w:start w:val="1"/>
    </w:lvl>
  </w:abstractNum>
  <w:abstractNum w:abstractNumId="107">
    <w:nsid w:val="5046B5A9"/>
    <w:multiLevelType w:val="hybridMultilevel"/>
    <w:lvl w:ilvl="0">
      <w:lvlJc w:val="left"/>
      <w:lvlText w:val="1"/>
      <w:numFmt w:val="bullet"/>
      <w:start w:val="1"/>
    </w:lvl>
  </w:abstractNum>
  <w:abstractNum w:abstractNumId="108">
    <w:nsid w:val="5D888A08"/>
    <w:multiLevelType w:val="hybridMultilevel"/>
    <w:lvl w:ilvl="0">
      <w:lvlJc w:val="left"/>
      <w:lvlText w:val="1"/>
      <w:numFmt w:val="bullet"/>
      <w:start w:val="1"/>
    </w:lvl>
  </w:abstractNum>
  <w:abstractNum w:abstractNumId="109">
    <w:nsid w:val="2A082C70"/>
    <w:multiLevelType w:val="hybridMultilevel"/>
    <w:lvl w:ilvl="0">
      <w:lvlJc w:val="left"/>
      <w:lvlText w:val="1"/>
      <w:numFmt w:val="bullet"/>
      <w:start w:val="1"/>
    </w:lvl>
  </w:abstractNum>
  <w:abstractNum w:abstractNumId="110">
    <w:nsid w:val="5EC6AFD4"/>
    <w:multiLevelType w:val="hybridMultilevel"/>
    <w:lvl w:ilvl="0">
      <w:lvlJc w:val="left"/>
      <w:lvlText w:val="1"/>
      <w:numFmt w:val="bullet"/>
      <w:start w:val="1"/>
    </w:lvl>
  </w:abstractNum>
  <w:abstractNum w:abstractNumId="111">
    <w:nsid w:val="19E21BB2"/>
    <w:multiLevelType w:val="hybridMultilevel"/>
    <w:lvl w:ilvl="0">
      <w:lvlJc w:val="left"/>
      <w:lvlText w:val="2"/>
      <w:numFmt w:val="bullet"/>
      <w:start w:val="1"/>
    </w:lvl>
  </w:abstractNum>
  <w:abstractNum w:abstractNumId="112">
    <w:nsid w:val="75E0858A"/>
    <w:multiLevelType w:val="hybridMultilevel"/>
    <w:lvl w:ilvl="0">
      <w:lvlJc w:val="left"/>
      <w:lvlText w:val="2"/>
      <w:numFmt w:val="bullet"/>
      <w:start w:val="1"/>
    </w:lvl>
  </w:abstractNum>
  <w:abstractNum w:abstractNumId="113">
    <w:nsid w:val="57A61A29"/>
    <w:multiLevelType w:val="hybridMultilevel"/>
    <w:lvl w:ilvl="0">
      <w:lvlJc w:val="left"/>
      <w:lvlText w:val="2"/>
      <w:numFmt w:val="bullet"/>
      <w:start w:val="1"/>
    </w:lvl>
  </w:abstractNum>
  <w:abstractNum w:abstractNumId="114">
    <w:nsid w:val="5399C654"/>
    <w:multiLevelType w:val="hybridMultilevel"/>
    <w:lvl w:ilvl="0">
      <w:lvlJc w:val="left"/>
      <w:lvlText w:val="2"/>
      <w:numFmt w:val="bullet"/>
      <w:start w:val="1"/>
    </w:lvl>
  </w:abstractNum>
  <w:abstractNum w:abstractNumId="115">
    <w:nsid w:val="20EE1348"/>
    <w:multiLevelType w:val="hybridMultilevel"/>
    <w:lvl w:ilvl="0">
      <w:lvlJc w:val="left"/>
      <w:lvlText w:val="2"/>
      <w:numFmt w:val="bullet"/>
      <w:start w:val="1"/>
    </w:lvl>
  </w:abstractNum>
  <w:abstractNum w:abstractNumId="116">
    <w:nsid w:val="4427069A"/>
    <w:multiLevelType w:val="hybridMultilevel"/>
    <w:lvl w:ilvl="0">
      <w:lvlJc w:val="left"/>
      <w:lvlText w:val="2"/>
      <w:numFmt w:val="bullet"/>
      <w:start w:val="1"/>
    </w:lvl>
  </w:abstractNum>
  <w:abstractNum w:abstractNumId="117">
    <w:nsid w:val="B37E80A"/>
    <w:multiLevelType w:val="hybridMultilevel"/>
    <w:lvl w:ilvl="0">
      <w:lvlJc w:val="left"/>
      <w:lvlText w:val="2"/>
      <w:numFmt w:val="bullet"/>
      <w:start w:val="1"/>
    </w:lvl>
  </w:abstractNum>
  <w:abstractNum w:abstractNumId="118">
    <w:nsid w:val="2157F6BC"/>
    <w:multiLevelType w:val="hybridMultilevel"/>
    <w:lvl w:ilvl="0">
      <w:lvlJc w:val="left"/>
      <w:lvlText w:val="2"/>
      <w:numFmt w:val="bullet"/>
      <w:start w:val="1"/>
    </w:lvl>
  </w:abstractNum>
  <w:abstractNum w:abstractNumId="119">
    <w:nsid w:val="704E1DD5"/>
    <w:multiLevelType w:val="hybridMultilevel"/>
    <w:lvl w:ilvl="0">
      <w:lvlJc w:val="left"/>
      <w:lvlText w:val="2"/>
      <w:numFmt w:val="bullet"/>
      <w:start w:val="1"/>
    </w:lvl>
  </w:abstractNum>
  <w:abstractNum w:abstractNumId="120">
    <w:nsid w:val="57D2F10E"/>
    <w:multiLevelType w:val="hybridMultilevel"/>
    <w:lvl w:ilvl="0">
      <w:lvlJc w:val="left"/>
      <w:lvlText w:val="2"/>
      <w:numFmt w:val="bullet"/>
      <w:start w:val="1"/>
    </w:lvl>
  </w:abstractNum>
  <w:abstractNum w:abstractNumId="121">
    <w:nsid w:val="BFFAE18"/>
    <w:multiLevelType w:val="hybridMultilevel"/>
    <w:lvl w:ilvl="0">
      <w:lvlJc w:val="left"/>
      <w:lvlText w:val="2"/>
      <w:numFmt w:val="bullet"/>
      <w:start w:val="1"/>
    </w:lvl>
  </w:abstractNum>
  <w:abstractNum w:abstractNumId="122">
    <w:nsid w:val="E3E47A8"/>
    <w:multiLevelType w:val="hybridMultilevel"/>
    <w:lvl w:ilvl="0">
      <w:lvlJc w:val="left"/>
      <w:lvlText w:val="2"/>
      <w:numFmt w:val="bullet"/>
      <w:start w:val="1"/>
    </w:lvl>
  </w:abstractNum>
  <w:abstractNum w:abstractNumId="123">
    <w:nsid w:val="2E48F044"/>
    <w:multiLevelType w:val="hybridMultilevel"/>
    <w:lvl w:ilvl="0">
      <w:lvlJc w:val="left"/>
      <w:lvlText w:val="%1."/>
      <w:numFmt w:val="lowerLetter"/>
      <w:start w:val="1"/>
    </w:lvl>
  </w:abstractNum>
  <w:abstractNum w:abstractNumId="124">
    <w:nsid w:val="49D0FEAC"/>
    <w:multiLevelType w:val="hybridMultilevel"/>
    <w:lvl w:ilvl="0">
      <w:lvlJc w:val="left"/>
      <w:lvlText w:val="2"/>
      <w:numFmt w:val="bullet"/>
      <w:start w:val="1"/>
    </w:lvl>
  </w:abstractNum>
  <w:abstractNum w:abstractNumId="125">
    <w:nsid w:val="4BEE5A5B"/>
    <w:multiLevelType w:val="hybridMultilevel"/>
    <w:lvl w:ilvl="0">
      <w:lvlJc w:val="left"/>
      <w:lvlText w:val="2"/>
      <w:numFmt w:val="bullet"/>
      <w:start w:val="1"/>
    </w:lvl>
  </w:abstractNum>
  <w:abstractNum w:abstractNumId="126">
    <w:nsid w:val="5551B9F3"/>
    <w:multiLevelType w:val="hybridMultilevel"/>
    <w:lvl w:ilvl="0">
      <w:lvlJc w:val="left"/>
      <w:lvlText w:val="2"/>
      <w:numFmt w:val="bullet"/>
      <w:start w:val="1"/>
    </w:lvl>
  </w:abstractNum>
  <w:abstractNum w:abstractNumId="127">
    <w:nsid w:val="24F6AB8E"/>
    <w:multiLevelType w:val="hybridMultilevel"/>
    <w:lvl w:ilvl="0">
      <w:lvlJc w:val="left"/>
      <w:lvlText w:val="2"/>
      <w:numFmt w:val="bullet"/>
      <w:start w:val="1"/>
    </w:lvl>
  </w:abstractNum>
  <w:abstractNum w:abstractNumId="128">
    <w:nsid w:val="634C574C"/>
    <w:multiLevelType w:val="hybridMultilevel"/>
    <w:lvl w:ilvl="0">
      <w:lvlJc w:val="left"/>
      <w:lvlText w:val="2"/>
      <w:numFmt w:val="bullet"/>
      <w:start w:val="1"/>
    </w:lvl>
  </w:abstractNum>
  <w:abstractNum w:abstractNumId="129">
    <w:nsid w:val="24E99DD7"/>
    <w:multiLevelType w:val="hybridMultilevel"/>
    <w:lvl w:ilvl="0">
      <w:lvlJc w:val="left"/>
      <w:lvlText w:val="2"/>
      <w:numFmt w:val="bullet"/>
      <w:start w:val="1"/>
    </w:lvl>
  </w:abstractNum>
  <w:abstractNum w:abstractNumId="130">
    <w:nsid w:val="2A31B62D"/>
    <w:multiLevelType w:val="hybridMultilevel"/>
    <w:lvl w:ilvl="0">
      <w:lvlJc w:val="left"/>
      <w:lvlText w:val="4"/>
      <w:numFmt w:val="bullet"/>
      <w:start w:val="1"/>
    </w:lvl>
  </w:abstractNum>
  <w:abstractNum w:abstractNumId="131">
    <w:nsid w:val="1849C29B"/>
    <w:multiLevelType w:val="hybridMultilevel"/>
    <w:lvl w:ilvl="0">
      <w:lvlJc w:val="left"/>
      <w:lvlText w:val="6"/>
      <w:numFmt w:val="bullet"/>
      <w:start w:val="1"/>
    </w:lvl>
  </w:abstractNum>
  <w:abstractNum w:abstractNumId="132">
    <w:nsid w:val="7DFF9D09"/>
    <w:multiLevelType w:val="hybridMultilevel"/>
    <w:lvl w:ilvl="0">
      <w:lvlJc w:val="left"/>
      <w:lvlText w:val="7"/>
      <w:numFmt w:val="bullet"/>
      <w:start w:val="1"/>
    </w:lvl>
  </w:abstractNum>
  <w:abstractNum w:abstractNumId="133">
    <w:nsid w:val="754342"/>
    <w:multiLevelType w:val="hybridMultilevel"/>
    <w:lvl w:ilvl="0">
      <w:lvlJc w:val="left"/>
      <w:lvlText w:val="7"/>
      <w:numFmt w:val="bullet"/>
      <w:start w:val="1"/>
    </w:lvl>
  </w:abstractNum>
  <w:abstractNum w:abstractNumId="134">
    <w:nsid w:val="69E7F3E5"/>
    <w:multiLevelType w:val="hybridMultilevel"/>
    <w:lvl w:ilvl="0">
      <w:lvlJc w:val="left"/>
      <w:lvlText w:val="8"/>
      <w:numFmt w:val="bullet"/>
      <w:start w:val="1"/>
    </w:lvl>
  </w:abstractNum>
  <w:abstractNum w:abstractNumId="135">
    <w:nsid w:val="2A6DE806"/>
    <w:multiLevelType w:val="hybridMultilevel"/>
    <w:lvl w:ilvl="0">
      <w:lvlJc w:val="left"/>
      <w:lvlText w:val="8"/>
      <w:numFmt w:val="bullet"/>
      <w:start w:val="1"/>
    </w:lvl>
  </w:abstractNum>
  <w:abstractNum w:abstractNumId="136">
    <w:nsid w:val="1816F8C4"/>
    <w:multiLevelType w:val="hybridMultilevel"/>
    <w:lvl w:ilvl="0">
      <w:lvlJc w:val="left"/>
      <w:lvlText w:val="9"/>
      <w:numFmt w:val="bullet"/>
      <w:start w:val="1"/>
    </w:lvl>
  </w:abstractNum>
  <w:abstractNum w:abstractNumId="137">
    <w:nsid w:val="37DF2233"/>
    <w:multiLevelType w:val="hybridMultilevel"/>
    <w:lvl w:ilvl="0">
      <w:lvlJc w:val="left"/>
      <w:lvlText w:val="(%1)"/>
      <w:numFmt w:val="lowerRoman"/>
      <w:start w:val="1"/>
    </w:lvl>
  </w:abstractNum>
  <w:abstractNum w:abstractNumId="138">
    <w:nsid w:val="7AB49DAF"/>
    <w:multiLevelType w:val="hybridMultilevel"/>
    <w:lvl w:ilvl="0">
      <w:lvlJc w:val="left"/>
      <w:lvlText w:val="(%1)"/>
      <w:numFmt w:val="lowerRoman"/>
      <w:start w:val="1"/>
    </w:lvl>
  </w:abstractNum>
  <w:abstractNum w:abstractNumId="139">
    <w:nsid w:val="759F82CD"/>
    <w:multiLevelType w:val="hybridMultilevel"/>
    <w:lvl w:ilvl="0">
      <w:lvlJc w:val="left"/>
      <w:lvlText w:val="%1"/>
      <w:numFmt w:val="decimal"/>
      <w:start w:val="24"/>
    </w:lvl>
  </w:abstractNum>
  <w:abstractNum w:abstractNumId="140">
    <w:nsid w:val="61E74EA3"/>
    <w:multiLevelType w:val="hybridMultilevel"/>
    <w:lvl w:ilvl="0">
      <w:lvlJc w:val="left"/>
      <w:lvlText w:val="%1"/>
      <w:numFmt w:val="decimal"/>
      <w:start w:val="24"/>
    </w:lvl>
  </w:abstractNum>
  <w:abstractNum w:abstractNumId="141">
    <w:nsid w:val="597B4D84"/>
    <w:multiLevelType w:val="hybridMultilevel"/>
    <w:lvl w:ilvl="0">
      <w:lvlJc w:val="left"/>
      <w:lvlText w:val="%1"/>
      <w:numFmt w:val="decimal"/>
      <w:start w:val="24"/>
    </w:lvl>
  </w:abstractNum>
  <w:abstractNum w:abstractNumId="142">
    <w:nsid w:val="F819E7F"/>
    <w:multiLevelType w:val="hybridMultilevel"/>
    <w:lvl w:ilvl="0">
      <w:lvlJc w:val="left"/>
      <w:lvlText w:val="%1"/>
      <w:numFmt w:val="decimal"/>
      <w:start w:val="24"/>
    </w:lvl>
  </w:abstractNum>
  <w:abstractNum w:abstractNumId="143">
    <w:nsid w:val="57C7D42D"/>
    <w:multiLevelType w:val="hybridMultilevel"/>
    <w:lvl w:ilvl="0">
      <w:lvlJc w:val="left"/>
      <w:lvlText w:val="%1."/>
      <w:numFmt w:val="decimal"/>
      <w:start w:val="1"/>
    </w:lvl>
    <w:lvl w:ilvl="1">
      <w:lvlJc w:val="left"/>
      <w:lvlText w:val="(%2)"/>
      <w:numFmt w:val="lowerLetter"/>
      <w:start w:val="1"/>
    </w:lvl>
  </w:abstractNum>
  <w:abstractNum w:abstractNumId="144">
    <w:nsid w:val="312167AD"/>
    <w:multiLevelType w:val="hybridMultilevel"/>
    <w:lvl w:ilvl="0">
      <w:lvlJc w:val="left"/>
      <w:lvlText w:val="%1."/>
      <w:numFmt w:val="decimal"/>
      <w:start w:val="1"/>
    </w:lvl>
    <w:lvl w:ilvl="1">
      <w:lvlJc w:val="left"/>
      <w:lvlText w:val="(%2)"/>
      <w:numFmt w:val="lowerLetter"/>
      <w:start w:val="1"/>
    </w:lvl>
  </w:abstractNum>
  <w:abstractNum w:abstractNumId="145">
    <w:nsid w:val="631B64D4"/>
    <w:multiLevelType w:val="hybridMultilevel"/>
    <w:lvl w:ilvl="0">
      <w:lvlJc w:val="left"/>
      <w:lvlText w:val="(%1)"/>
      <w:numFmt w:val="decimal"/>
      <w:start w:val="1"/>
    </w:lvl>
  </w:abstractNum>
  <w:abstractNum w:abstractNumId="146">
    <w:nsid w:val="78B5E776"/>
    <w:multiLevelType w:val="hybridMultilevel"/>
    <w:lvl w:ilvl="0">
      <w:lvlJc w:val="left"/>
      <w:lvlText w:val="(%1)"/>
      <w:numFmt w:val="decimal"/>
      <w:start w:val="1"/>
    </w:lvl>
  </w:abstractNum>
  <w:abstractNum w:abstractNumId="147">
    <w:nsid w:val="75486E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88" Type="http://schemas.openxmlformats.org/officeDocument/2006/relationships/image" Target="media/image167.png"/><Relationship Id="rId199" Type="http://schemas.openxmlformats.org/officeDocument/2006/relationships/image" Target="media/image168.png"/><Relationship Id="rId201" Type="http://schemas.openxmlformats.org/officeDocument/2006/relationships/image" Target="media/image169.png"/><Relationship Id="rId202" Type="http://schemas.openxmlformats.org/officeDocument/2006/relationships/image" Target="media/image170.png"/><Relationship Id="rId203" Type="http://schemas.openxmlformats.org/officeDocument/2006/relationships/image" Target="media/image171.png"/><Relationship Id="rId204" Type="http://schemas.openxmlformats.org/officeDocument/2006/relationships/image" Target="media/image172.png"/><Relationship Id="rId205" Type="http://schemas.openxmlformats.org/officeDocument/2006/relationships/image" Target="media/image173.png"/><Relationship Id="rId206" Type="http://schemas.openxmlformats.org/officeDocument/2006/relationships/image" Target="media/image174.png"/><Relationship Id="rId207" Type="http://schemas.openxmlformats.org/officeDocument/2006/relationships/image" Target="media/image175.png"/><Relationship Id="rId208" Type="http://schemas.openxmlformats.org/officeDocument/2006/relationships/image" Target="media/image176.png"/><Relationship Id="rId209" Type="http://schemas.openxmlformats.org/officeDocument/2006/relationships/image" Target="media/image177.png"/><Relationship Id="rId210" Type="http://schemas.openxmlformats.org/officeDocument/2006/relationships/image" Target="media/image178.png"/><Relationship Id="rId211" Type="http://schemas.openxmlformats.org/officeDocument/2006/relationships/image" Target="media/image179.png"/><Relationship Id="rId212" Type="http://schemas.openxmlformats.org/officeDocument/2006/relationships/image" Target="media/image180.png"/><Relationship Id="rId213" Type="http://schemas.openxmlformats.org/officeDocument/2006/relationships/image" Target="media/image181.png"/><Relationship Id="rId214" Type="http://schemas.openxmlformats.org/officeDocument/2006/relationships/image" Target="media/image182.png"/><Relationship Id="rId215" Type="http://schemas.openxmlformats.org/officeDocument/2006/relationships/image" Target="media/image183.png"/><Relationship Id="rId216" Type="http://schemas.openxmlformats.org/officeDocument/2006/relationships/image" Target="media/image184.png"/><Relationship Id="rId217" Type="http://schemas.openxmlformats.org/officeDocument/2006/relationships/image" Target="media/image185.png"/><Relationship Id="rId218" Type="http://schemas.openxmlformats.org/officeDocument/2006/relationships/image" Target="media/image186.png"/><Relationship Id="rId219" Type="http://schemas.openxmlformats.org/officeDocument/2006/relationships/image" Target="media/image187.png"/><Relationship Id="rId220" Type="http://schemas.openxmlformats.org/officeDocument/2006/relationships/image" Target="media/image188.png"/><Relationship Id="rId221" Type="http://schemas.openxmlformats.org/officeDocument/2006/relationships/image" Target="media/image189.png"/><Relationship Id="rId222" Type="http://schemas.openxmlformats.org/officeDocument/2006/relationships/image" Target="media/image190.png"/><Relationship Id="rId223" Type="http://schemas.openxmlformats.org/officeDocument/2006/relationships/image" Target="media/image191.png"/><Relationship Id="rId224" Type="http://schemas.openxmlformats.org/officeDocument/2006/relationships/image" Target="media/image192.png"/><Relationship Id="rId225" Type="http://schemas.openxmlformats.org/officeDocument/2006/relationships/image" Target="media/image193.png"/><Relationship Id="rId226" Type="http://schemas.openxmlformats.org/officeDocument/2006/relationships/image" Target="media/image194.png"/><Relationship Id="rId227" Type="http://schemas.openxmlformats.org/officeDocument/2006/relationships/image" Target="media/image195.png"/><Relationship Id="rId228" Type="http://schemas.openxmlformats.org/officeDocument/2006/relationships/image" Target="media/image196.png"/><Relationship Id="rId229" Type="http://schemas.openxmlformats.org/officeDocument/2006/relationships/image" Target="media/image197.png"/><Relationship Id="rId230" Type="http://schemas.openxmlformats.org/officeDocument/2006/relationships/image" Target="media/image198.png"/><Relationship Id="rId231" Type="http://schemas.openxmlformats.org/officeDocument/2006/relationships/image" Target="media/image199.png"/><Relationship Id="rId232" Type="http://schemas.openxmlformats.org/officeDocument/2006/relationships/image" Target="media/image200.png"/><Relationship Id="rId233" Type="http://schemas.openxmlformats.org/officeDocument/2006/relationships/image" Target="media/image201.png"/><Relationship Id="rId234" Type="http://schemas.openxmlformats.org/officeDocument/2006/relationships/image" Target="media/image202.png"/><Relationship Id="rId235" Type="http://schemas.openxmlformats.org/officeDocument/2006/relationships/image" Target="media/image203.png"/><Relationship Id="rId236" Type="http://schemas.openxmlformats.org/officeDocument/2006/relationships/image" Target="media/image204.png"/><Relationship Id="rId237" Type="http://schemas.openxmlformats.org/officeDocument/2006/relationships/image" Target="media/image205.png"/><Relationship Id="rId238" Type="http://schemas.openxmlformats.org/officeDocument/2006/relationships/image" Target="media/image206.png"/><Relationship Id="rId239" Type="http://schemas.openxmlformats.org/officeDocument/2006/relationships/image" Target="media/image207.png"/><Relationship Id="rId240" Type="http://schemas.openxmlformats.org/officeDocument/2006/relationships/image" Target="media/image208.png"/><Relationship Id="rId241" Type="http://schemas.openxmlformats.org/officeDocument/2006/relationships/image" Target="media/image209.png"/><Relationship Id="rId242" Type="http://schemas.openxmlformats.org/officeDocument/2006/relationships/image" Target="media/image210.png"/><Relationship Id="rId243" Type="http://schemas.openxmlformats.org/officeDocument/2006/relationships/image" Target="media/image211.png"/><Relationship Id="rId244" Type="http://schemas.openxmlformats.org/officeDocument/2006/relationships/image" Target="media/image212.png"/><Relationship Id="rId245" Type="http://schemas.openxmlformats.org/officeDocument/2006/relationships/image" Target="media/image213.png"/><Relationship Id="rId246" Type="http://schemas.openxmlformats.org/officeDocument/2006/relationships/image" Target="media/image214.png"/><Relationship Id="rId247" Type="http://schemas.openxmlformats.org/officeDocument/2006/relationships/image" Target="media/image215.png"/><Relationship Id="rId248" Type="http://schemas.openxmlformats.org/officeDocument/2006/relationships/image" Target="media/image216.png"/><Relationship Id="rId249" Type="http://schemas.openxmlformats.org/officeDocument/2006/relationships/image" Target="media/image217.png"/><Relationship Id="rId250" Type="http://schemas.openxmlformats.org/officeDocument/2006/relationships/image" Target="media/image218.png"/><Relationship Id="rId251" Type="http://schemas.openxmlformats.org/officeDocument/2006/relationships/image" Target="media/image219.png"/><Relationship Id="rId252" Type="http://schemas.openxmlformats.org/officeDocument/2006/relationships/image" Target="media/image220.png"/><Relationship Id="rId253" Type="http://schemas.openxmlformats.org/officeDocument/2006/relationships/image" Target="media/image221.png"/><Relationship Id="rId254" Type="http://schemas.openxmlformats.org/officeDocument/2006/relationships/image" Target="media/image222.png"/><Relationship Id="rId255" Type="http://schemas.openxmlformats.org/officeDocument/2006/relationships/image" Target="media/image223.png"/><Relationship Id="rId256" Type="http://schemas.openxmlformats.org/officeDocument/2006/relationships/image" Target="media/image224.png"/><Relationship Id="rId257" Type="http://schemas.openxmlformats.org/officeDocument/2006/relationships/image" Target="media/image225.png"/><Relationship Id="rId258" Type="http://schemas.openxmlformats.org/officeDocument/2006/relationships/image" Target="media/image226.png"/><Relationship Id="rId259" Type="http://schemas.openxmlformats.org/officeDocument/2006/relationships/image" Target="media/image227.png"/><Relationship Id="rId260" Type="http://schemas.openxmlformats.org/officeDocument/2006/relationships/image" Target="media/image228.png"/><Relationship Id="rId261" Type="http://schemas.openxmlformats.org/officeDocument/2006/relationships/image" Target="media/image229.png"/><Relationship Id="rId262" Type="http://schemas.openxmlformats.org/officeDocument/2006/relationships/image" Target="media/image230.png"/><Relationship Id="rId263" Type="http://schemas.openxmlformats.org/officeDocument/2006/relationships/image" Target="media/image231.png"/><Relationship Id="rId264" Type="http://schemas.openxmlformats.org/officeDocument/2006/relationships/image" Target="media/image232.png"/><Relationship Id="rId265" Type="http://schemas.openxmlformats.org/officeDocument/2006/relationships/image" Target="media/image233.png"/><Relationship Id="rId266" Type="http://schemas.openxmlformats.org/officeDocument/2006/relationships/image" Target="media/image234.jpeg"/><Relationship Id="rId267" Type="http://schemas.openxmlformats.org/officeDocument/2006/relationships/image" Target="media/image235.png"/><Relationship Id="rId268" Type="http://schemas.openxmlformats.org/officeDocument/2006/relationships/image" Target="media/image236.png"/><Relationship Id="rId174" Type="http://schemas.openxmlformats.org/officeDocument/2006/relationships/hyperlink" Target="https://www.sec.gov/Archives/edgar/data/1737339/000119312518209561/d567445dex32.htm" TargetMode="External"/><Relationship Id="rId175" Type="http://schemas.openxmlformats.org/officeDocument/2006/relationships/hyperlink" Target="https://www.sec.gov/Archives/edgar/data/1737339/000119312518350430/d668146dex43.htm" TargetMode="External"/><Relationship Id="rId176" Type="http://schemas.openxmlformats.org/officeDocument/2006/relationships/hyperlink" Target="https://www.sec.gov/Archives/edgar/data/1737339/000119312518217954/d567445dex42.htm" TargetMode="External"/><Relationship Id="rId177" Type="http://schemas.openxmlformats.org/officeDocument/2006/relationships/hyperlink" Target="https://www.sec.gov/Archives/edgar/data/1737339/000119312518209561/d567445dex44.htm" TargetMode="External"/><Relationship Id="rId178" Type="http://schemas.openxmlformats.org/officeDocument/2006/relationships/hyperlink" Target="https://www.sec.gov/Archives/edgar/data/1737339/000110465924046491/jg-20231231xex2d5.htm" TargetMode="External"/><Relationship Id="rId179" Type="http://schemas.openxmlformats.org/officeDocument/2006/relationships/hyperlink" Target="https://www.sec.gov/Archives/edgar/data/1737339/000119312518209561/d567445dex101.htm" TargetMode="External"/><Relationship Id="rId180" Type="http://schemas.openxmlformats.org/officeDocument/2006/relationships/hyperlink" Target="https://www.sec.gov/Archives/edgar/data/1737339/000119312518209561/d567445dex102.htm" TargetMode="External"/><Relationship Id="rId181" Type="http://schemas.openxmlformats.org/officeDocument/2006/relationships/hyperlink" Target="https://www.sec.gov/Archives/edgar/data/1737339/000119312522010686/d85832dex101.htm" TargetMode="External"/><Relationship Id="rId182" Type="http://schemas.openxmlformats.org/officeDocument/2006/relationships/hyperlink" Target="https://www.sec.gov/Archives/edgar/data/1737339/000119312523234912/d509475dex101.htm" TargetMode="External"/><Relationship Id="rId183" Type="http://schemas.openxmlformats.org/officeDocument/2006/relationships/hyperlink" Target="https://www.sec.gov/Archives/edgar/data/1737339/000119312518217954/d567445dex103.htm" TargetMode="External"/><Relationship Id="rId184" Type="http://schemas.openxmlformats.org/officeDocument/2006/relationships/hyperlink" Target="https://www.sec.gov/Archives/edgar/data/1737339/000119312518217954/d567445dex104.htm" TargetMode="External"/><Relationship Id="rId185" Type="http://schemas.openxmlformats.org/officeDocument/2006/relationships/hyperlink" Target="https://www.sec.gov/Archives/edgar/data/1737339/000119312521325151/d873617dex992.htm" TargetMode="External"/><Relationship Id="rId186" Type="http://schemas.openxmlformats.org/officeDocument/2006/relationships/hyperlink" Target="https://www.sec.gov/Archives/edgar/data/1737339/000119312522248715/d193106dex48.htm" TargetMode="External"/><Relationship Id="rId187" Type="http://schemas.openxmlformats.org/officeDocument/2006/relationships/hyperlink" Target="https://www.sec.gov/Archives/edgar/data/1737339/000119312522248715/d193106dex49.htm" TargetMode="External"/><Relationship Id="rId189" Type="http://schemas.openxmlformats.org/officeDocument/2006/relationships/hyperlink" Target="https://www.sec.gov/Archives/edgar/data/1737339/000119312522248715/d193106dex410.htm" TargetMode="External"/><Relationship Id="rId190" Type="http://schemas.openxmlformats.org/officeDocument/2006/relationships/hyperlink" Target="https://www.sec.gov/Archives/edgar/data/1737339/000119312522248715/d193106dex411.htm" TargetMode="External"/><Relationship Id="rId191" Type="http://schemas.openxmlformats.org/officeDocument/2006/relationships/hyperlink" Target="https://www.sec.gov/Archives/edgar/data/1737339/000119312522248715/d193106dex412.htm" TargetMode="External"/><Relationship Id="rId192" Type="http://schemas.openxmlformats.org/officeDocument/2006/relationships/hyperlink" Target="https://www.sec.gov/Archives/edgar/data/1737339/000119312522248715/d193106dex413.htm" TargetMode="External"/><Relationship Id="rId193" Type="http://schemas.openxmlformats.org/officeDocument/2006/relationships/hyperlink" Target="https://www.sec.gov/Archives/edgar/data/1737339/000119312522248715/d193106dex414.htm" TargetMode="External"/><Relationship Id="rId194" Type="http://schemas.openxmlformats.org/officeDocument/2006/relationships/hyperlink" Target="https://www.sec.gov/Archives/edgar/data/1737339/000110465924046491/jg-20231231xex4d15.htm" TargetMode="External"/><Relationship Id="rId195" Type="http://schemas.openxmlformats.org/officeDocument/2006/relationships/hyperlink" Target="https://www.sec.gov/Archives/edgar/data/1737339/000110465925048051/tm2514808d1_ex1-1.htm" TargetMode="External"/><Relationship Id="rId196" Type="http://schemas.openxmlformats.org/officeDocument/2006/relationships/hyperlink" Target="https://www.sec.gov/Archives/edgar/data/1737339/000110465926013043/tm265783d1_ex4-1.htm" TargetMode="External"/><Relationship Id="rId197" Type="http://schemas.openxmlformats.org/officeDocument/2006/relationships/hyperlink" Target="https://www.sec.gov/Archives/edgar/data/1737339/000119312521112508/d708585dex111.htm" TargetMode="External"/><Relationship Id="rId198" Type="http://schemas.openxmlformats.org/officeDocument/2006/relationships/hyperlink" Target="https://www.sec.gov/Archives/edgar/data/1737339/000141057825000628/jg-20241231xex11d2.htm" TargetMode="External"/><Relationship Id="rId200" Type="http://schemas.openxmlformats.org/officeDocument/2006/relationships/hyperlink" Target="https://www.sec.gov/Archives/edgar/data/1737339/000110465924046491/jg-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2026-03-27T06:22:27Z</dcterms:created>
  <dcterms:modified xsi:type="dcterms:W3CDTF">2026-03-27T06:22:27Z</dcterms:modified>
</cp:coreProperties>
</file>