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March 27, 2026</w:t>
      </w:r>
    </w:p>
    <w:p>
      <w:pPr>
        <w:spacing w:after="0" w:line="20"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-5080</wp:posOffset>
            </wp:positionV>
            <wp:extent cx="48240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27940</wp:posOffset>
            </wp:positionV>
            <wp:extent cx="48240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110490</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F-3</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jc w:val="center"/>
        <w:ind w:right="39"/>
        <w:spacing w:after="0" w:line="225" w:lineRule="auto"/>
        <w:rPr>
          <w:sz w:val="20"/>
          <w:szCs w:val="20"/>
          <w:color w:val="auto"/>
        </w:rPr>
      </w:pPr>
      <w:r>
        <w:rPr>
          <w:rFonts w:ascii="Times New Roman" w:cs="Times New Roman" w:eastAsia="Times New Roman" w:hAnsi="Times New Roman"/>
          <w:sz w:val="12"/>
          <w:szCs w:val="12"/>
          <w:b w:val="1"/>
          <w:bCs w:val="1"/>
          <w:color w:val="auto"/>
        </w:rPr>
        <w:t>Under</w:t>
      </w: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46355</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Aurora Mobile Limited</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42545</wp:posOffset>
            </wp:positionV>
            <wp:extent cx="9620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50800</wp:posOffset>
            </wp:positionV>
            <wp:extent cx="9620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96" w:lineRule="exact"/>
        <w:rPr>
          <w:sz w:val="24"/>
          <w:szCs w:val="24"/>
          <w:color w:val="auto"/>
        </w:rPr>
      </w:pPr>
    </w:p>
    <w:tbl>
      <w:tblPr>
        <w:tblLayout w:type="fixed"/>
        <w:tblInd w:w="700" w:type="dxa"/>
        <w:tblCellMar>
          <w:top w:w="0" w:type="dxa"/>
          <w:left w:w="0" w:type="dxa"/>
          <w:bottom w:w="0" w:type="dxa"/>
          <w:right w:w="0" w:type="dxa"/>
        </w:tblCellMar>
      </w:tblPr>
      <w:tr>
        <w:trPr>
          <w:trHeight w:val="158"/>
        </w:trPr>
        <w:tc>
          <w:tcPr>
            <w:tcW w:w="6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14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 ​</w:t>
            </w:r>
          </w:p>
        </w:tc>
        <w:tc>
          <w:tcPr>
            <w:tcW w:w="234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7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r>
      <w:tr>
        <w:trPr>
          <w:trHeight w:val="111"/>
        </w:trPr>
        <w:tc>
          <w:tcPr>
            <w:tcW w:w="640" w:type="dxa"/>
            <w:vAlign w:val="bottom"/>
          </w:tcPr>
          <w:p>
            <w:pPr>
              <w:spacing w:after="0"/>
              <w:rPr>
                <w:sz w:val="9"/>
                <w:szCs w:val="9"/>
                <w:color w:val="auto"/>
              </w:rPr>
            </w:pPr>
          </w:p>
        </w:tc>
        <w:tc>
          <w:tcPr>
            <w:tcW w:w="2500" w:type="dxa"/>
            <w:vAlign w:val="bottom"/>
          </w:tcPr>
          <w:p>
            <w:pPr>
              <w:ind w:left="600"/>
              <w:spacing w:after="0" w:line="112" w:lineRule="exact"/>
              <w:rPr>
                <w:sz w:val="20"/>
                <w:szCs w:val="20"/>
                <w:color w:val="auto"/>
              </w:rPr>
            </w:pPr>
            <w:r>
              <w:rPr>
                <w:rFonts w:ascii="Times New Roman" w:cs="Times New Roman" w:eastAsia="Times New Roman" w:hAnsi="Times New Roman"/>
                <w:sz w:val="10"/>
                <w:szCs w:val="10"/>
                <w:color w:val="auto"/>
              </w:rPr>
              <w:t>(Stale or other jurisdiction of</w:t>
            </w:r>
          </w:p>
        </w:tc>
        <w:tc>
          <w:tcPr>
            <w:tcW w:w="1420" w:type="dxa"/>
            <w:vAlign w:val="bottom"/>
          </w:tcPr>
          <w:p>
            <w:pPr>
              <w:spacing w:after="0"/>
              <w:rPr>
                <w:sz w:val="9"/>
                <w:szCs w:val="9"/>
                <w:color w:val="auto"/>
              </w:rPr>
            </w:pPr>
          </w:p>
        </w:tc>
        <w:tc>
          <w:tcPr>
            <w:tcW w:w="2340" w:type="dxa"/>
            <w:vAlign w:val="bottom"/>
          </w:tcPr>
          <w:p>
            <w:pPr>
              <w:ind w:left="800"/>
              <w:spacing w:after="0" w:line="112" w:lineRule="exact"/>
              <w:rPr>
                <w:sz w:val="20"/>
                <w:szCs w:val="20"/>
                <w:color w:val="auto"/>
              </w:rPr>
            </w:pPr>
            <w:r>
              <w:rPr>
                <w:rFonts w:ascii="Times New Roman" w:cs="Times New Roman" w:eastAsia="Times New Roman" w:hAnsi="Times New Roman"/>
                <w:sz w:val="10"/>
                <w:szCs w:val="10"/>
                <w:color w:val="auto"/>
              </w:rPr>
              <w:t>(I.R.S. Employer</w:t>
            </w:r>
          </w:p>
        </w:tc>
        <w:tc>
          <w:tcPr>
            <w:tcW w:w="720" w:type="dxa"/>
            <w:vAlign w:val="bottom"/>
          </w:tcPr>
          <w:p>
            <w:pPr>
              <w:spacing w:after="0"/>
              <w:rPr>
                <w:sz w:val="9"/>
                <w:szCs w:val="9"/>
                <w:color w:val="auto"/>
              </w:rPr>
            </w:pPr>
          </w:p>
        </w:tc>
      </w:tr>
      <w:tr>
        <w:trPr>
          <w:trHeight w:val="162"/>
        </w:trPr>
        <w:tc>
          <w:tcPr>
            <w:tcW w:w="640" w:type="dxa"/>
            <w:vAlign w:val="bottom"/>
          </w:tcPr>
          <w:p>
            <w:pPr>
              <w:spacing w:after="0"/>
              <w:rPr>
                <w:sz w:val="14"/>
                <w:szCs w:val="14"/>
                <w:color w:val="auto"/>
              </w:rPr>
            </w:pPr>
          </w:p>
        </w:tc>
        <w:tc>
          <w:tcPr>
            <w:tcW w:w="250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incorporation or organization)</w:t>
            </w:r>
            <w:r>
              <w:rPr>
                <w:rFonts w:ascii="Times New Roman" w:cs="Times New Roman" w:eastAsia="Times New Roman" w:hAnsi="Times New Roman"/>
                <w:sz w:val="11"/>
                <w:szCs w:val="11"/>
                <w:color w:val="auto"/>
              </w:rPr>
              <w:t>​</w:t>
            </w:r>
          </w:p>
        </w:tc>
        <w:tc>
          <w:tcPr>
            <w:tcW w:w="1420" w:type="dxa"/>
            <w:vAlign w:val="bottom"/>
          </w:tcPr>
          <w:p>
            <w:pPr>
              <w:spacing w:after="0"/>
              <w:rPr>
                <w:sz w:val="14"/>
                <w:szCs w:val="14"/>
                <w:color w:val="auto"/>
              </w:rPr>
            </w:pPr>
          </w:p>
        </w:tc>
        <w:tc>
          <w:tcPr>
            <w:tcW w:w="23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Identification Number)</w:t>
            </w:r>
          </w:p>
        </w:tc>
        <w:tc>
          <w:tcPr>
            <w:tcW w:w="720" w:type="dxa"/>
            <w:vAlign w:val="bottom"/>
          </w:tcPr>
          <w:p>
            <w:pPr>
              <w:spacing w:after="0"/>
              <w:rPr>
                <w:sz w:val="14"/>
                <w:szCs w:val="14"/>
                <w:color w:val="auto"/>
              </w:rPr>
            </w:pPr>
          </w:p>
        </w:tc>
      </w:tr>
    </w:tbl>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31/F, Block 12-A, Shenzhen Bay Science and Technology Ecological Park,</w:t>
      </w:r>
    </w:p>
    <w:p>
      <w:pPr>
        <w:jc w:val="center"/>
        <w:ind w:right="19"/>
        <w:spacing w:after="0" w:line="227" w:lineRule="auto"/>
        <w:rPr>
          <w:sz w:val="20"/>
          <w:szCs w:val="20"/>
          <w:color w:val="auto"/>
        </w:rPr>
      </w:pPr>
      <w:r>
        <w:rPr>
          <w:rFonts w:ascii="Times New Roman" w:cs="Times New Roman" w:eastAsia="Times New Roman" w:hAnsi="Times New Roman"/>
          <w:sz w:val="12"/>
          <w:szCs w:val="12"/>
          <w:b w:val="1"/>
          <w:bCs w:val="1"/>
          <w:color w:val="auto"/>
        </w:rPr>
        <w:t>Nanshan District, Shenzhen, Guangdong 518057</w:t>
      </w:r>
    </w:p>
    <w:p>
      <w:pPr>
        <w:ind w:left="3840"/>
        <w:spacing w:after="0" w:line="219" w:lineRule="auto"/>
        <w:rPr>
          <w:sz w:val="20"/>
          <w:szCs w:val="20"/>
          <w:color w:val="auto"/>
        </w:rPr>
      </w:pPr>
      <w:r>
        <w:rPr>
          <w:rFonts w:ascii="Times New Roman" w:cs="Times New Roman" w:eastAsia="Times New Roman" w:hAnsi="Times New Roman"/>
          <w:sz w:val="12"/>
          <w:szCs w:val="12"/>
          <w:b w:val="1"/>
          <w:bCs w:val="1"/>
          <w:color w:val="auto"/>
        </w:rPr>
        <w:t>People’s Republic of China</w:t>
      </w:r>
    </w:p>
    <w:p>
      <w:pPr>
        <w:ind w:left="4040"/>
        <w:spacing w:after="0"/>
        <w:rPr>
          <w:sz w:val="20"/>
          <w:szCs w:val="20"/>
          <w:color w:val="auto"/>
        </w:rPr>
      </w:pPr>
      <w:r>
        <w:rPr>
          <w:rFonts w:ascii="Times New Roman" w:cs="Times New Roman" w:eastAsia="Times New Roman" w:hAnsi="Times New Roman"/>
          <w:sz w:val="12"/>
          <w:szCs w:val="12"/>
          <w:b w:val="1"/>
          <w:bCs w:val="1"/>
          <w:color w:val="auto"/>
        </w:rPr>
        <w:t>+86 755-8388-1462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44450</wp:posOffset>
            </wp:positionV>
            <wp:extent cx="9620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1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b w:val="1"/>
          <w:bCs w:val="1"/>
          <w:color w:val="auto"/>
        </w:rPr>
        <w:t>Puglisi &amp; Associates</w:t>
      </w:r>
    </w:p>
    <w:p>
      <w:pPr>
        <w:spacing w:after="0" w:line="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850 Library Avenue, Suite 204</w:t>
      </w:r>
    </w:p>
    <w:p>
      <w:pPr>
        <w:ind w:left="3880"/>
        <w:spacing w:after="0" w:line="219" w:lineRule="auto"/>
        <w:rPr>
          <w:sz w:val="20"/>
          <w:szCs w:val="20"/>
          <w:color w:val="auto"/>
        </w:rPr>
      </w:pPr>
      <w:r>
        <w:rPr>
          <w:rFonts w:ascii="Times New Roman" w:cs="Times New Roman" w:eastAsia="Times New Roman" w:hAnsi="Times New Roman"/>
          <w:sz w:val="12"/>
          <w:szCs w:val="12"/>
          <w:b w:val="1"/>
          <w:bCs w:val="1"/>
          <w:color w:val="auto"/>
        </w:rPr>
        <w:t>Newark, Delaware 19711</w:t>
      </w:r>
    </w:p>
    <w:p>
      <w:pPr>
        <w:jc w:val="center"/>
        <w:spacing w:after="0"/>
        <w:rPr>
          <w:sz w:val="20"/>
          <w:szCs w:val="20"/>
          <w:color w:val="auto"/>
        </w:rPr>
      </w:pPr>
      <w:r>
        <w:rPr>
          <w:rFonts w:ascii="Times New Roman" w:cs="Times New Roman" w:eastAsia="Times New Roman" w:hAnsi="Times New Roman"/>
          <w:sz w:val="12"/>
          <w:szCs w:val="12"/>
          <w:b w:val="1"/>
          <w:bCs w:val="1"/>
          <w:color w:val="auto"/>
        </w:rPr>
        <w:t>(302) 738-6680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50800</wp:posOffset>
            </wp:positionV>
            <wp:extent cx="9620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Shu Du, Esq.</w:t>
      </w:r>
    </w:p>
    <w:p>
      <w:pPr>
        <w:spacing w:after="0" w:line="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2"/>
          <w:szCs w:val="12"/>
          <w:b w:val="1"/>
          <w:bCs w:val="1"/>
          <w:color w:val="auto"/>
        </w:rPr>
        <w:t>Skadden, Arps, Slate, Meagher &amp; Flom LLP</w:t>
      </w:r>
    </w:p>
    <w:p>
      <w:pPr>
        <w:ind w:left="3440"/>
        <w:spacing w:after="0" w:line="237" w:lineRule="auto"/>
        <w:rPr>
          <w:sz w:val="20"/>
          <w:szCs w:val="20"/>
          <w:color w:val="auto"/>
        </w:rPr>
      </w:pPr>
      <w:r>
        <w:rPr>
          <w:rFonts w:ascii="Times New Roman" w:cs="Times New Roman" w:eastAsia="Times New Roman" w:hAnsi="Times New Roman"/>
          <w:sz w:val="12"/>
          <w:szCs w:val="12"/>
          <w:b w:val="1"/>
          <w:bCs w:val="1"/>
          <w:color w:val="auto"/>
        </w:rPr>
        <w:t>c/o 42/F, Edinburgh Tower, The Landmark</w:t>
      </w:r>
    </w:p>
    <w:p>
      <w:pPr>
        <w:jc w:val="center"/>
        <w:ind w:right="39"/>
        <w:spacing w:after="0" w:line="220" w:lineRule="auto"/>
        <w:rPr>
          <w:sz w:val="20"/>
          <w:szCs w:val="20"/>
          <w:color w:val="auto"/>
        </w:rPr>
      </w:pPr>
      <w:r>
        <w:rPr>
          <w:rFonts w:ascii="Times New Roman" w:cs="Times New Roman" w:eastAsia="Times New Roman" w:hAnsi="Times New Roman"/>
          <w:sz w:val="12"/>
          <w:szCs w:val="12"/>
          <w:b w:val="1"/>
          <w:bCs w:val="1"/>
          <w:color w:val="auto"/>
        </w:rPr>
        <w:t>15 Queen’s Road, Central</w:t>
      </w:r>
    </w:p>
    <w:p>
      <w:pPr>
        <w:ind w:left="4200"/>
        <w:spacing w:after="0"/>
        <w:rPr>
          <w:sz w:val="20"/>
          <w:szCs w:val="20"/>
          <w:color w:val="auto"/>
        </w:rPr>
      </w:pPr>
      <w:r>
        <w:rPr>
          <w:rFonts w:ascii="Times New Roman" w:cs="Times New Roman" w:eastAsia="Times New Roman" w:hAnsi="Times New Roman"/>
          <w:sz w:val="12"/>
          <w:szCs w:val="12"/>
          <w:b w:val="1"/>
          <w:bCs w:val="1"/>
          <w:color w:val="auto"/>
        </w:rPr>
        <w:t>Hong Kong</w:t>
      </w:r>
    </w:p>
    <w:p>
      <w:pPr>
        <w:ind w:left="4120"/>
        <w:spacing w:after="0"/>
        <w:rPr>
          <w:sz w:val="20"/>
          <w:szCs w:val="20"/>
          <w:color w:val="auto"/>
        </w:rPr>
      </w:pPr>
      <w:r>
        <w:rPr>
          <w:rFonts w:ascii="Times New Roman" w:cs="Times New Roman" w:eastAsia="Times New Roman" w:hAnsi="Times New Roman"/>
          <w:sz w:val="12"/>
          <w:szCs w:val="12"/>
          <w:b w:val="1"/>
          <w:bCs w:val="1"/>
          <w:color w:val="auto"/>
        </w:rPr>
        <w:t>+852 3740-4700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46355</wp:posOffset>
            </wp:positionV>
            <wp:extent cx="9620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2"/>
          <w:szCs w:val="12"/>
          <w:color w:val="auto"/>
        </w:rPr>
        <w:t>Approximate date of commencement of proposed sale to the public: from time to time after the effective date of this registration statement.</w:t>
      </w:r>
    </w:p>
    <w:p>
      <w:pPr>
        <w:spacing w:after="0" w:line="30" w:lineRule="exact"/>
        <w:rPr>
          <w:sz w:val="24"/>
          <w:szCs w:val="24"/>
          <w:color w:val="auto"/>
        </w:rPr>
      </w:pPr>
    </w:p>
    <w:p>
      <w:pPr>
        <w:ind w:left="700" w:right="839" w:firstLine="280"/>
        <w:spacing w:after="0" w:line="155" w:lineRule="exact"/>
        <w:rPr>
          <w:sz w:val="20"/>
          <w:szCs w:val="20"/>
          <w:color w:val="auto"/>
        </w:rPr>
      </w:pPr>
      <w:r>
        <w:rPr>
          <w:rFonts w:ascii="Times New Roman" w:cs="Times New Roman" w:eastAsia="Times New Roman" w:hAnsi="Times New Roman"/>
          <w:sz w:val="12"/>
          <w:szCs w:val="12"/>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700" w:right="779" w:firstLine="280"/>
        <w:spacing w:after="0" w:line="153"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7" w:lineRule="exact"/>
        <w:rPr>
          <w:sz w:val="24"/>
          <w:szCs w:val="24"/>
          <w:color w:val="auto"/>
        </w:rPr>
      </w:pPr>
    </w:p>
    <w:p>
      <w:pPr>
        <w:ind w:left="700" w:right="859" w:firstLine="280"/>
        <w:spacing w:after="0" w:line="149"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7" w:lineRule="exact"/>
        <w:rPr>
          <w:sz w:val="24"/>
          <w:szCs w:val="24"/>
          <w:color w:val="auto"/>
        </w:rPr>
      </w:pPr>
    </w:p>
    <w:p>
      <w:pPr>
        <w:ind w:left="700" w:right="799" w:firstLine="280"/>
        <w:spacing w:after="0" w:line="149" w:lineRule="exact"/>
        <w:rPr>
          <w:sz w:val="20"/>
          <w:szCs w:val="20"/>
          <w:color w:val="auto"/>
        </w:rPr>
      </w:pPr>
      <w:r>
        <w:rPr>
          <w:rFonts w:ascii="Times New Roman" w:cs="Times New Roman" w:eastAsia="Times New Roman" w:hAnsi="Times New Roman"/>
          <w:sz w:val="12"/>
          <w:szCs w:val="12"/>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7" w:lineRule="exact"/>
        <w:rPr>
          <w:sz w:val="24"/>
          <w:szCs w:val="24"/>
          <w:color w:val="auto"/>
        </w:rPr>
      </w:pPr>
    </w:p>
    <w:p>
      <w:pPr>
        <w:ind w:left="700" w:right="999" w:firstLine="280"/>
        <w:spacing w:after="0" w:line="149"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7" w:lineRule="exact"/>
        <w:rPr>
          <w:sz w:val="24"/>
          <w:szCs w:val="24"/>
          <w:color w:val="auto"/>
        </w:rPr>
      </w:pPr>
    </w:p>
    <w:p>
      <w:pPr>
        <w:ind w:left="700" w:right="1159" w:firstLine="280"/>
        <w:spacing w:after="0" w:line="14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I.C. filed to register additional securities or additional classes of securities` pursuant to Rule 413(b) wider the Securities Act, check the following box. </w:t>
      </w:r>
      <w:r>
        <w:rPr>
          <w:rFonts w:ascii="MS PGothic" w:cs="MS PGothic" w:eastAsia="MS PGothic" w:hAnsi="MS PGothic"/>
          <w:sz w:val="12"/>
          <w:szCs w:val="12"/>
          <w:color w:val="auto"/>
        </w:rPr>
        <w:t>☐</w:t>
      </w:r>
    </w:p>
    <w:p>
      <w:pPr>
        <w:spacing w:after="0" w:line="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w:t>
      </w:r>
    </w:p>
    <w:p>
      <w:pPr>
        <w:spacing w:after="0" w:line="16" w:lineRule="exact"/>
        <w:rPr>
          <w:sz w:val="24"/>
          <w:szCs w:val="24"/>
          <w:color w:val="auto"/>
        </w:rPr>
      </w:pPr>
    </w:p>
    <w:p>
      <w:pPr>
        <w:jc w:val="right"/>
        <w:ind w:right="679"/>
        <w:spacing w:after="0" w:line="138" w:lineRule="exact"/>
        <w:tabs>
          <w:tab w:leader="none" w:pos="12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t>
      </w:r>
    </w:p>
    <w:p>
      <w:pPr>
        <w:spacing w:after="0" w:line="48" w:lineRule="exact"/>
        <w:rPr>
          <w:sz w:val="24"/>
          <w:szCs w:val="24"/>
          <w:color w:val="auto"/>
        </w:rPr>
      </w:pPr>
    </w:p>
    <w:p>
      <w:pPr>
        <w:ind w:left="700" w:right="759" w:firstLine="280"/>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ind w:left="980"/>
        <w:spacing w:after="0"/>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w:t>
      </w:r>
    </w:p>
    <w:p>
      <w:pPr>
        <w:spacing w:after="0" w:line="18" w:lineRule="exact"/>
        <w:rPr>
          <w:sz w:val="24"/>
          <w:szCs w:val="24"/>
          <w:color w:val="auto"/>
        </w:rPr>
      </w:pPr>
    </w:p>
    <w:p>
      <w:pPr>
        <w:ind w:left="700" w:right="879"/>
        <w:spacing w:after="0" w:line="249" w:lineRule="auto"/>
        <w:rPr>
          <w:sz w:val="20"/>
          <w:szCs w:val="20"/>
          <w:color w:val="auto"/>
        </w:rPr>
      </w:pPr>
      <w:r>
        <w:rPr>
          <w:rFonts w:ascii="Times New Roman" w:cs="Times New Roman" w:eastAsia="Times New Roman" w:hAnsi="Times New Roman"/>
          <w:sz w:val="11"/>
          <w:szCs w:val="11"/>
          <w:b w:val="1"/>
          <w:bCs w:val="1"/>
          <w:color w:val="auto"/>
        </w:rPr>
        <w:t>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w:t>
      </w:r>
    </w:p>
    <w:p>
      <w:pPr>
        <w:spacing w:after="0" w:line="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66675</wp:posOffset>
            </wp:positionV>
            <wp:extent cx="9620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94" w:lineRule="exact"/>
        <w:rPr>
          <w:sz w:val="24"/>
          <w:szCs w:val="24"/>
          <w:color w:val="auto"/>
        </w:rPr>
      </w:pPr>
    </w:p>
    <w:p>
      <w:pPr>
        <w:ind w:left="980" w:right="1059" w:hanging="273"/>
        <w:spacing w:after="0" w:line="316" w:lineRule="auto"/>
        <w:tabs>
          <w:tab w:leader="none" w:pos="9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26670</wp:posOffset>
            </wp:positionV>
            <wp:extent cx="48240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3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-4445</wp:posOffset>
            </wp:positionV>
            <wp:extent cx="482409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p>
    <w:p>
      <w:pPr>
        <w:spacing w:after="0" w:line="357" w:lineRule="exact"/>
        <w:rPr>
          <w:sz w:val="20"/>
          <w:szCs w:val="20"/>
          <w:color w:val="auto"/>
        </w:rPr>
      </w:pPr>
    </w:p>
    <w:tbl>
      <w:tblPr>
        <w:tblLayout w:type="fixed"/>
        <w:tblInd w:w="1020" w:type="dxa"/>
        <w:tblCellMar>
          <w:top w:w="0" w:type="dxa"/>
          <w:left w:w="0" w:type="dxa"/>
          <w:bottom w:w="0" w:type="dxa"/>
          <w:right w:w="0" w:type="dxa"/>
        </w:tblCellMar>
      </w:tblPr>
      <w:tr>
        <w:trPr>
          <w:trHeight w:val="219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 Commission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or sale is not permitted.</w:t>
            </w:r>
          </w:p>
        </w:tc>
      </w:tr>
      <w:tr>
        <w:trPr>
          <w:trHeight w:val="4802"/>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We may not sell these securities until the registration statement 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securities and it is not soliciting an offer to buy these securities in any state where the offer</w:t>
            </w:r>
          </w:p>
        </w:tc>
      </w:tr>
      <w:tr>
        <w:trPr>
          <w:trHeight w:val="94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not 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offer to sell these</w:t>
            </w:r>
          </w:p>
        </w:tc>
      </w:tr>
      <w:tr>
        <w:trPr>
          <w:trHeight w:val="110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in this prospectus 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 an</w:t>
            </w:r>
          </w:p>
        </w:tc>
      </w:tr>
      <w:tr>
        <w:trPr>
          <w:trHeight w:val="86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The information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1057"/>
        <w:spacing w:after="0"/>
        <w:rPr>
          <w:sz w:val="20"/>
          <w:szCs w:val="20"/>
          <w:color w:val="auto"/>
        </w:rPr>
      </w:pPr>
      <w:r>
        <w:rPr>
          <w:rFonts w:ascii="Times New Roman" w:cs="Times New Roman" w:eastAsia="Times New Roman" w:hAnsi="Times New Roman"/>
          <w:sz w:val="14"/>
          <w:szCs w:val="14"/>
          <w:b w:val="1"/>
          <w:bCs w:val="1"/>
          <w:color w:val="FC0014"/>
        </w:rPr>
        <w:t>SUBJECT TO COMPLETION, DATED MARCH 27, 2026</w:t>
      </w:r>
    </w:p>
    <w:p>
      <w:pPr>
        <w:spacing w:after="0" w:line="154" w:lineRule="exact"/>
        <w:rPr>
          <w:sz w:val="20"/>
          <w:szCs w:val="20"/>
          <w:color w:val="auto"/>
        </w:rPr>
      </w:pPr>
    </w:p>
    <w:p>
      <w:pPr>
        <w:ind w:left="1982"/>
        <w:spacing w:after="0"/>
        <w:rPr>
          <w:sz w:val="20"/>
          <w:szCs w:val="20"/>
          <w:color w:val="auto"/>
        </w:rPr>
      </w:pPr>
      <w:r>
        <w:rPr>
          <w:rFonts w:ascii="Times New Roman" w:cs="Times New Roman" w:eastAsia="Times New Roman" w:hAnsi="Times New Roman"/>
          <w:sz w:val="25"/>
          <w:szCs w:val="25"/>
          <w:b w:val="1"/>
          <w:bCs w:val="1"/>
          <w:color w:val="auto"/>
        </w:rPr>
        <w:t>Aurora Mobile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108585</wp:posOffset>
            </wp:positionV>
            <wp:extent cx="1570355" cy="267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035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57"/>
        <w:spacing w:after="0"/>
        <w:rPr>
          <w:sz w:val="20"/>
          <w:szCs w:val="20"/>
          <w:color w:val="auto"/>
        </w:rPr>
      </w:pPr>
      <w:r>
        <w:rPr>
          <w:rFonts w:ascii="Times New Roman" w:cs="Times New Roman" w:eastAsia="Times New Roman" w:hAnsi="Times New Roman"/>
          <w:sz w:val="20"/>
          <w:szCs w:val="20"/>
          <w:b w:val="1"/>
          <w:bCs w:val="1"/>
          <w:color w:val="auto"/>
        </w:rPr>
        <w:t>9,666,666</w:t>
      </w:r>
    </w:p>
    <w:p>
      <w:pPr>
        <w:spacing w:after="0" w:line="86" w:lineRule="exact"/>
        <w:rPr>
          <w:sz w:val="20"/>
          <w:szCs w:val="20"/>
          <w:color w:val="auto"/>
        </w:rPr>
      </w:pPr>
    </w:p>
    <w:p>
      <w:pPr>
        <w:jc w:val="center"/>
        <w:ind w:right="1057"/>
        <w:spacing w:after="0"/>
        <w:rPr>
          <w:sz w:val="20"/>
          <w:szCs w:val="20"/>
          <w:color w:val="auto"/>
        </w:rPr>
      </w:pPr>
      <w:r>
        <w:rPr>
          <w:rFonts w:ascii="Times New Roman" w:cs="Times New Roman" w:eastAsia="Times New Roman" w:hAnsi="Times New Roman"/>
          <w:sz w:val="20"/>
          <w:szCs w:val="20"/>
          <w:b w:val="1"/>
          <w:bCs w:val="1"/>
          <w:color w:val="auto"/>
        </w:rPr>
        <w:t>Class A Common Shares</w:t>
      </w:r>
    </w:p>
    <w:p>
      <w:pPr>
        <w:spacing w:after="0" w:line="75" w:lineRule="exact"/>
        <w:rPr>
          <w:sz w:val="20"/>
          <w:szCs w:val="20"/>
          <w:color w:val="auto"/>
        </w:rPr>
      </w:pPr>
    </w:p>
    <w:p>
      <w:pPr>
        <w:jc w:val="center"/>
        <w:ind w:right="1057"/>
        <w:spacing w:after="0"/>
        <w:rPr>
          <w:sz w:val="20"/>
          <w:szCs w:val="20"/>
          <w:color w:val="auto"/>
        </w:rPr>
      </w:pPr>
      <w:r>
        <w:rPr>
          <w:rFonts w:ascii="Times New Roman" w:cs="Times New Roman" w:eastAsia="Times New Roman" w:hAnsi="Times New Roman"/>
          <w:sz w:val="20"/>
          <w:szCs w:val="20"/>
          <w:b w:val="1"/>
          <w:bCs w:val="1"/>
          <w:color w:val="auto"/>
        </w:rPr>
        <w:t>Represented by 725,000 American Depositary Shares</w:t>
      </w:r>
    </w:p>
    <w:p>
      <w:pPr>
        <w:spacing w:after="0" w:line="114" w:lineRule="exact"/>
        <w:rPr>
          <w:sz w:val="20"/>
          <w:szCs w:val="20"/>
          <w:color w:val="auto"/>
        </w:rPr>
      </w:pPr>
    </w:p>
    <w:p>
      <w:pPr>
        <w:ind w:left="2" w:right="1119" w:firstLine="280"/>
        <w:spacing w:after="0" w:line="260" w:lineRule="auto"/>
        <w:rPr>
          <w:sz w:val="20"/>
          <w:szCs w:val="20"/>
          <w:color w:val="auto"/>
        </w:rPr>
      </w:pPr>
      <w:r>
        <w:rPr>
          <w:rFonts w:ascii="Times New Roman" w:cs="Times New Roman" w:eastAsia="Times New Roman" w:hAnsi="Times New Roman"/>
          <w:sz w:val="14"/>
          <w:szCs w:val="14"/>
          <w:color w:val="auto"/>
        </w:rPr>
        <w:t>This prospectus relates to the proposed resale or other disposition of 9,666,666 of our Class A common shares, represented by 725,000 American Depositary Shares, or ADSs, issuable upon the exercise of warrant, or the Warrant, by the selling securityholder identified in this prospectus. The Warrant was issued by us to the selling securityholder on February 11, 2026, in a private placement offering, or the Private Placement.</w:t>
      </w:r>
    </w:p>
    <w:p>
      <w:pPr>
        <w:spacing w:after="0" w:line="260" w:lineRule="exact"/>
        <w:rPr>
          <w:sz w:val="20"/>
          <w:szCs w:val="20"/>
          <w:color w:val="auto"/>
        </w:rPr>
      </w:pPr>
    </w:p>
    <w:p>
      <w:pPr>
        <w:ind w:left="2" w:right="1139" w:firstLine="280"/>
        <w:spacing w:after="0" w:line="261" w:lineRule="auto"/>
        <w:rPr>
          <w:sz w:val="20"/>
          <w:szCs w:val="20"/>
          <w:color w:val="auto"/>
        </w:rPr>
      </w:pPr>
      <w:r>
        <w:rPr>
          <w:rFonts w:ascii="Times New Roman" w:cs="Times New Roman" w:eastAsia="Times New Roman" w:hAnsi="Times New Roman"/>
          <w:sz w:val="14"/>
          <w:szCs w:val="14"/>
          <w:color w:val="auto"/>
        </w:rPr>
        <w:t>We are not selling any Class A common shares or ADSs under this prospectus and will not receive any of the proceeds from the sale or other disposition of Class A common shares (or ADSs representing such shares) by the selling securityholder. However, we will receive proceeds from the exercise, if ever exercised, of the Warrant.</w:t>
      </w:r>
    </w:p>
    <w:p>
      <w:pPr>
        <w:spacing w:after="0" w:line="78" w:lineRule="exact"/>
        <w:rPr>
          <w:sz w:val="20"/>
          <w:szCs w:val="20"/>
          <w:color w:val="auto"/>
        </w:rPr>
      </w:pPr>
    </w:p>
    <w:p>
      <w:pPr>
        <w:ind w:left="2" w:right="1139" w:firstLine="280"/>
        <w:spacing w:after="0" w:line="255" w:lineRule="auto"/>
        <w:rPr>
          <w:sz w:val="20"/>
          <w:szCs w:val="20"/>
          <w:color w:val="auto"/>
        </w:rPr>
      </w:pPr>
      <w:r>
        <w:rPr>
          <w:rFonts w:ascii="Times New Roman" w:cs="Times New Roman" w:eastAsia="Times New Roman" w:hAnsi="Times New Roman"/>
          <w:sz w:val="14"/>
          <w:szCs w:val="14"/>
          <w:color w:val="auto"/>
        </w:rPr>
        <w:t xml:space="preserve">The selling securityholder or its pledgees, donees, transferees, assignees and successors (collectively referred to as the “selling securityholder”) may offer and sell or otherwise dispose of the Class A common shares (or ADSs representing such shares) described in this prospectus from time to time through public or private transactions at prevailing market prices, at prices related to prevailing market prices or at privately negotiated prices. The selling securityholder will bear all commissions and discounts, if any, attributable to the sales of Class A common shares (or ADSs representing such shares). We will bear all other costs, expenses and fees in connection with the registration of the shares. See “Plan of Distribution”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for more information about how the selling securityholder may sell or dispose of its Class A common shares (or ADSs representing such shares).</w:t>
      </w:r>
    </w:p>
    <w:p>
      <w:pPr>
        <w:spacing w:after="0" w:line="91" w:lineRule="exact"/>
        <w:rPr>
          <w:sz w:val="20"/>
          <w:szCs w:val="20"/>
          <w:color w:val="auto"/>
        </w:rPr>
      </w:pPr>
    </w:p>
    <w:p>
      <w:pPr>
        <w:ind w:left="2" w:right="1079" w:firstLine="280"/>
        <w:spacing w:after="0" w:line="267" w:lineRule="auto"/>
        <w:rPr>
          <w:sz w:val="20"/>
          <w:szCs w:val="20"/>
          <w:color w:val="auto"/>
        </w:rPr>
      </w:pPr>
      <w:r>
        <w:rPr>
          <w:rFonts w:ascii="Times New Roman" w:cs="Times New Roman" w:eastAsia="Times New Roman" w:hAnsi="Times New Roman"/>
          <w:sz w:val="14"/>
          <w:szCs w:val="14"/>
          <w:color w:val="auto"/>
        </w:rPr>
        <w:t>Our ADSs are listed on the Nasdaq Global Market under the symbol “JG.” On March 20, 2026, the closing price of our ADSs on the Nasdaq Global Market was US$7.78 per ADS. Three ADSs represent forty Class A common shares.</w:t>
      </w:r>
    </w:p>
    <w:p>
      <w:pPr>
        <w:spacing w:after="0" w:line="82" w:lineRule="exact"/>
        <w:rPr>
          <w:sz w:val="20"/>
          <w:szCs w:val="20"/>
          <w:color w:val="auto"/>
        </w:rPr>
      </w:pPr>
    </w:p>
    <w:p>
      <w:pPr>
        <w:ind w:left="2" w:right="1159" w:firstLine="28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Investing in these securities involves a high degree of risk. Furthermore, investors should be aware that there are various other risks relating to our securities, the issuer and its subsidiaries, their business and their jurisdictions of operations which investors should familiarize themselves with before making an investment in our securities. Please carefully consider the risks discussed under “Risk Factors” in this prospectus beginning on page </w:t>
      </w:r>
      <w:r>
        <w:rPr>
          <w:rFonts w:ascii="Times New Roman" w:cs="Times New Roman" w:eastAsia="Times New Roman" w:hAnsi="Times New Roman"/>
          <w:sz w:val="14"/>
          <w:szCs w:val="14"/>
          <w:b w:val="1"/>
          <w:bCs w:val="1"/>
          <w:u w:val="single" w:color="auto"/>
          <w:color w:val="0000EE"/>
        </w:rPr>
        <w:t>18</w:t>
      </w:r>
      <w:r>
        <w:rPr>
          <w:rFonts w:ascii="Times New Roman" w:cs="Times New Roman" w:eastAsia="Times New Roman" w:hAnsi="Times New Roman"/>
          <w:sz w:val="14"/>
          <w:szCs w:val="14"/>
          <w:b w:val="1"/>
          <w:bCs w:val="1"/>
          <w:color w:val="auto"/>
        </w:rPr>
        <w:t>, in our reports filed with the Securities and Exchange Commission that are incorporated by reference in this prospectus, and in any applicable prospectus supplement before making a decision to invest in our securities.</w:t>
      </w:r>
    </w:p>
    <w:p>
      <w:pPr>
        <w:spacing w:after="0" w:line="84" w:lineRule="exact"/>
        <w:rPr>
          <w:sz w:val="20"/>
          <w:szCs w:val="20"/>
          <w:color w:val="auto"/>
        </w:rPr>
      </w:pPr>
    </w:p>
    <w:p>
      <w:pPr>
        <w:ind w:left="2" w:right="1059" w:firstLine="280"/>
        <w:spacing w:after="0" w:line="252" w:lineRule="auto"/>
        <w:rPr>
          <w:sz w:val="20"/>
          <w:szCs w:val="20"/>
          <w:color w:val="auto"/>
        </w:rPr>
      </w:pPr>
      <w:r>
        <w:rPr>
          <w:rFonts w:ascii="Times New Roman" w:cs="Times New Roman" w:eastAsia="Times New Roman" w:hAnsi="Times New Roman"/>
          <w:sz w:val="14"/>
          <w:szCs w:val="14"/>
          <w:color w:val="auto"/>
        </w:rPr>
        <w:t>Aurora Mobile Limited is not an operating company in China but a Cayman Islands holding company with no equity ownership in its consolidated variable interest entity, or the VIE. We conduct our operations in mainland China, primarily through our subsidiaries incorporated in mainland China, or mainland China subsidiaries, and the VIE with which we have maintained contractual arrangements. Our value-added telecommunications services businesses in mainland China have been conducted through the VIE in order to comply with the laws and regulations of mainland China, which restrict and impose conditions on foreign direct investment in companies involved in the provision of such businesses. Accordingly, we operate these businesses in mainland China through the VIE, and such structure is used to provide investors with exposure to foreign investment in China-based companies where laws and regulations in mainland China prohibit or restrict direct foreign investment in certain operating companies, and rely on contractual arrangements among our mainland China subsidiaries, the VIE and their shareholders to control the business operations of the VIE. These contractual arrangements enable us to: (i) direct the activities of the VIE that most significantly impact its economic performance, (ii) receive the economic benefits of and absorb losses that could potentially be significant to the VIE in consideration for the services provided by our WFOE; and</w:t>
      </w:r>
    </w:p>
    <w:p>
      <w:pPr>
        <w:spacing w:after="0" w:line="5" w:lineRule="exact"/>
        <w:rPr>
          <w:sz w:val="20"/>
          <w:szCs w:val="20"/>
          <w:color w:val="auto"/>
        </w:rPr>
      </w:pPr>
    </w:p>
    <w:p>
      <w:pPr>
        <w:ind w:left="262" w:hanging="262"/>
        <w:spacing w:after="0"/>
        <w:tabs>
          <w:tab w:leader="none" w:pos="26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an exclusive option to purchase all or part of the equity interests in and assets of the VIE when and</w:t>
      </w:r>
    </w:p>
    <w:p>
      <w:pPr>
        <w:spacing w:after="0" w:line="7" w:lineRule="exact"/>
        <w:rPr>
          <w:rFonts w:ascii="Times New Roman" w:cs="Times New Roman" w:eastAsia="Times New Roman" w:hAnsi="Times New Roman"/>
          <w:sz w:val="14"/>
          <w:szCs w:val="14"/>
          <w:color w:val="auto"/>
        </w:rPr>
      </w:pPr>
    </w:p>
    <w:p>
      <w:pPr>
        <w:ind w:left="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186055</wp:posOffset>
            </wp:positionV>
            <wp:extent cx="530542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05425" cy="38735"/>
                    </a:xfrm>
                    <a:prstGeom prst="rect">
                      <a:avLst/>
                    </a:prstGeom>
                    <a:noFill/>
                  </pic:spPr>
                </pic:pic>
              </a:graphicData>
            </a:graphic>
          </wp:anchor>
        </w:drawing>
      </w:r>
    </w:p>
    <w:p>
      <w:pPr>
        <w:sectPr>
          <w:pgSz w:w="11900" w:h="16838" w:orient="portrait"/>
          <w:cols w:equalWidth="0" w:num="2">
            <w:col w:w="1280" w:space="278"/>
            <w:col w:w="7461"/>
          </w:cols>
          <w:pgMar w:left="1440" w:top="107" w:right="1440" w:bottom="1440" w:gutter="0" w:footer="0" w:header="0"/>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p>
    <w:p>
      <w:pPr>
        <w:spacing w:after="0" w:line="357" w:lineRule="exact"/>
        <w:rPr>
          <w:sz w:val="20"/>
          <w:szCs w:val="20"/>
          <w:color w:val="auto"/>
        </w:rPr>
      </w:pPr>
    </w:p>
    <w:tbl>
      <w:tblPr>
        <w:tblLayout w:type="fixed"/>
        <w:tblInd w:w="1020" w:type="dxa"/>
        <w:tblCellMar>
          <w:top w:w="0" w:type="dxa"/>
          <w:left w:w="0" w:type="dxa"/>
          <w:bottom w:w="0" w:type="dxa"/>
          <w:right w:w="0" w:type="dxa"/>
        </w:tblCellMar>
      </w:tblPr>
      <w:tr>
        <w:trPr>
          <w:trHeight w:val="219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 Commission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or sale is not permitted.</w:t>
            </w:r>
          </w:p>
        </w:tc>
      </w:tr>
      <w:tr>
        <w:trPr>
          <w:trHeight w:val="4802"/>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We may not sell these securities until the registration statement 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securities and it is not soliciting an offer to buy these securities in any state where the offer</w:t>
            </w:r>
          </w:p>
        </w:tc>
      </w:tr>
      <w:tr>
        <w:trPr>
          <w:trHeight w:val="94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not 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offer to sell these</w:t>
            </w:r>
          </w:p>
        </w:tc>
      </w:tr>
      <w:tr>
        <w:trPr>
          <w:trHeight w:val="110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in this prospectus 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 an</w:t>
            </w:r>
          </w:p>
        </w:tc>
      </w:tr>
      <w:tr>
        <w:trPr>
          <w:trHeight w:val="86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The information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079"/>
        <w:spacing w:after="0" w:line="243" w:lineRule="auto"/>
        <w:rPr>
          <w:sz w:val="20"/>
          <w:szCs w:val="20"/>
          <w:color w:val="auto"/>
        </w:rPr>
      </w:pPr>
      <w:r>
        <w:rPr>
          <w:rFonts w:ascii="Times New Roman" w:cs="Times New Roman" w:eastAsia="Times New Roman" w:hAnsi="Times New Roman"/>
          <w:sz w:val="14"/>
          <w:szCs w:val="14"/>
          <w:color w:val="auto"/>
        </w:rPr>
        <w:t>the extent permitted by the laws of mainland China. Because of these contractual arrangements, we are considered the primary beneficiary of the VIE and hence consolidate its financial results with ours under U.S. GAAP for accounting purposes. Investors in our ADSs are not purchasing equity interest in our operating entities in mainland China but instead are purchasing equity interest in a holding company incorporated in the Cayman Islands. As used in this prospectus, “Aurora” refers to Aurora Mobile Limited, and “we,” “us,” “our company,” or “our” refers to Aurora Mobile Limited and its subsidiaries. We refer to Shenzhen Hexun Huagu Information Technology Co., Ltd., or Hexun Huagu, including its subsidiaries, as the “VIE,” and to JPush Information Consultation (Shenzhen) Co., Ltd., or Shenzhen JPush, as our “WFOE” in this prospectus.</w:t>
      </w:r>
    </w:p>
    <w:p>
      <w:pPr>
        <w:spacing w:after="0" w:line="253" w:lineRule="exact"/>
        <w:rPr>
          <w:sz w:val="20"/>
          <w:szCs w:val="20"/>
          <w:color w:val="auto"/>
        </w:rPr>
      </w:pPr>
    </w:p>
    <w:p>
      <w:pPr>
        <w:ind w:right="1079" w:firstLine="280"/>
        <w:spacing w:after="0" w:line="243" w:lineRule="auto"/>
        <w:rPr>
          <w:sz w:val="20"/>
          <w:szCs w:val="20"/>
          <w:color w:val="auto"/>
        </w:rPr>
      </w:pPr>
      <w:r>
        <w:rPr>
          <w:rFonts w:ascii="Times New Roman" w:cs="Times New Roman" w:eastAsia="Times New Roman" w:hAnsi="Times New Roman"/>
          <w:sz w:val="14"/>
          <w:szCs w:val="14"/>
          <w:color w:val="auto"/>
        </w:rPr>
        <w:t>Our corporate structure is subject to risks associated with our contractual arrangements with the VIE.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could be subject to severe penalties or be forced to relinquish our interests in those operations. Our holding company, our mainland China subsidiaries and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 — D. Risk Factors — Risks Related to Our Corporate Structure” of our annual report on Form 20 -F for the fiscal year ended December 31, 2025, or the 2025 Form 20-F, which is incorporated herein by reference.</w:t>
      </w:r>
    </w:p>
    <w:p>
      <w:pPr>
        <w:spacing w:after="0" w:line="96" w:lineRule="exact"/>
        <w:rPr>
          <w:sz w:val="20"/>
          <w:szCs w:val="20"/>
          <w:color w:val="auto"/>
        </w:rPr>
      </w:pPr>
    </w:p>
    <w:p>
      <w:pPr>
        <w:ind w:right="1119" w:firstLine="280"/>
        <w:spacing w:after="0" w:line="243" w:lineRule="auto"/>
        <w:rPr>
          <w:sz w:val="20"/>
          <w:szCs w:val="20"/>
          <w:color w:val="auto"/>
        </w:rPr>
      </w:pPr>
      <w:r>
        <w:rPr>
          <w:rFonts w:ascii="Times New Roman" w:cs="Times New Roman" w:eastAsia="Times New Roman" w:hAnsi="Times New Roman"/>
          <w:sz w:val="14"/>
          <w:szCs w:val="14"/>
          <w:color w:val="auto"/>
        </w:rPr>
        <w:t>We and the VIE face various risks and uncertainties related to doing business in mainland China. Our and the VIE’s business operations are primarily conducted in mainland China, and we are subject to complex and evolving laws and regulations of mainland China. For example, we face risks associated with regulatory approvals on offshore offerings, anti-monopoly regulatory actions, and oversight on cybersecurity and data privacy, as disclosed in this prospectus. This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related to doing business in China, please refer to risks disclosed under “Item 3. Key Information — D. Risk Factors — Risks Related to Doing Business in China” of the 2025 Form 20-F.</w:t>
      </w:r>
    </w:p>
    <w:p>
      <w:pPr>
        <w:spacing w:after="0" w:line="253" w:lineRule="exact"/>
        <w:rPr>
          <w:sz w:val="20"/>
          <w:szCs w:val="20"/>
          <w:color w:val="auto"/>
        </w:rPr>
      </w:pPr>
    </w:p>
    <w:p>
      <w:pPr>
        <w:ind w:right="1059" w:firstLine="280"/>
        <w:spacing w:after="0" w:line="246" w:lineRule="auto"/>
        <w:rPr>
          <w:sz w:val="20"/>
          <w:szCs w:val="20"/>
          <w:color w:val="auto"/>
        </w:rPr>
      </w:pPr>
      <w:r>
        <w:rPr>
          <w:rFonts w:ascii="Times New Roman" w:cs="Times New Roman" w:eastAsia="Times New Roman" w:hAnsi="Times New Roman"/>
          <w:sz w:val="14"/>
          <w:szCs w:val="14"/>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For more details, see “Item 3. Key Information —  D. Risk Factors — Risks Related to Doing Business in China — The PRC government’s significant oversight over our or the VIE’s business operation could result in a material adverse change in our and the VIE’s operations and the value of our ADSs” of the 2025 Form 20-F.</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Pursuant to the Holding Foreign Companies Accountable Act, which was enacted on December 18,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 and further amended by the Consolidated Appropriations Act, 2023 signed into law on December 29,</w:t>
      </w:r>
    </w:p>
    <w:p>
      <w:pPr>
        <w:spacing w:after="0"/>
        <w:rPr>
          <w:sz w:val="20"/>
          <w:szCs w:val="20"/>
          <w:color w:val="auto"/>
        </w:rPr>
      </w:pPr>
      <w:r>
        <w:rPr>
          <w:rFonts w:ascii="Times New Roman" w:cs="Times New Roman" w:eastAsia="Times New Roman" w:hAnsi="Times New Roman"/>
          <w:sz w:val="14"/>
          <w:szCs w:val="14"/>
          <w:color w:val="auto"/>
        </w:rPr>
        <w:t>2022, or the HFCAA, if the Securities and Exchange Commission, or the SEC, determines that we have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audit reports issued by a registered public accounting firm that has not been subject to inspections by</w:t>
      </w:r>
    </w:p>
    <w:p>
      <w:pPr>
        <w:spacing w:after="0" w:line="235" w:lineRule="auto"/>
        <w:rPr>
          <w:sz w:val="20"/>
          <w:szCs w:val="20"/>
          <w:color w:val="auto"/>
        </w:rPr>
      </w:pPr>
      <w:r>
        <w:rPr>
          <w:rFonts w:ascii="Times New Roman" w:cs="Times New Roman" w:eastAsia="Times New Roman" w:hAnsi="Times New Roman"/>
          <w:sz w:val="14"/>
          <w:szCs w:val="14"/>
          <w:color w:val="auto"/>
        </w:rPr>
        <w:t>the Public Company Accounting Oversight Board, or the PCAOB, for two consecutive years, the SEC will</w:t>
      </w:r>
    </w:p>
    <w:p>
      <w:pPr>
        <w:spacing w:after="0"/>
        <w:rPr>
          <w:sz w:val="20"/>
          <w:szCs w:val="20"/>
          <w:color w:val="auto"/>
        </w:rPr>
      </w:pPr>
      <w:r>
        <w:rPr>
          <w:rFonts w:ascii="Times New Roman" w:cs="Times New Roman" w:eastAsia="Times New Roman" w:hAnsi="Times New Roman"/>
          <w:sz w:val="14"/>
          <w:szCs w:val="14"/>
          <w:color w:val="auto"/>
        </w:rPr>
        <w:t>prohibit our shares or the ADSs from being traded on a national securities exchange or in the over-the-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counter trading market in the United States. On December 16, 2021, the PCAOB issued a report to notify</w:t>
      </w:r>
    </w:p>
    <w:p>
      <w:pPr>
        <w:spacing w:after="0" w:line="235" w:lineRule="auto"/>
        <w:rPr>
          <w:sz w:val="20"/>
          <w:szCs w:val="20"/>
          <w:color w:val="auto"/>
        </w:rPr>
      </w:pPr>
      <w:r>
        <w:rPr>
          <w:rFonts w:ascii="Times New Roman" w:cs="Times New Roman" w:eastAsia="Times New Roman" w:hAnsi="Times New Roman"/>
          <w:sz w:val="14"/>
          <w:szCs w:val="14"/>
          <w:color w:val="auto"/>
        </w:rPr>
        <w:t>the SEC of its determination that the PCAOB was unable to inspect or investigate completely registered</w:t>
      </w:r>
    </w:p>
    <w:p>
      <w:pPr>
        <w:spacing w:after="0" w:line="235" w:lineRule="auto"/>
        <w:rPr>
          <w:sz w:val="20"/>
          <w:szCs w:val="20"/>
          <w:color w:val="auto"/>
        </w:rPr>
      </w:pPr>
      <w:r>
        <w:rPr>
          <w:rFonts w:ascii="Times New Roman" w:cs="Times New Roman" w:eastAsia="Times New Roman" w:hAnsi="Times New Roman"/>
          <w:sz w:val="14"/>
          <w:szCs w:val="14"/>
          <w:color w:val="auto"/>
        </w:rPr>
        <w:t>public accounting firms headquartered in mainland China and Hong Kong, including our auditor. In</w:t>
      </w:r>
    </w:p>
    <w:p>
      <w:pPr>
        <w:spacing w:after="0"/>
        <w:rPr>
          <w:sz w:val="20"/>
          <w:szCs w:val="20"/>
          <w:color w:val="auto"/>
        </w:rPr>
      </w:pPr>
      <w:r>
        <w:rPr>
          <w:rFonts w:ascii="Times New Roman" w:cs="Times New Roman" w:eastAsia="Times New Roman" w:hAnsi="Times New Roman"/>
          <w:sz w:val="14"/>
          <w:szCs w:val="14"/>
          <w:color w:val="auto"/>
        </w:rPr>
        <w:t>April 2022, the SEC conclusively listed us as a Commission-Identified Issuer under the HFCAA following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filing of our annual report on Form 20-F for the fiscal year ended December 31, 2021. On December 15,</w:t>
      </w:r>
    </w:p>
    <w:p>
      <w:pPr>
        <w:spacing w:after="0" w:line="235" w:lineRule="auto"/>
        <w:rPr>
          <w:sz w:val="20"/>
          <w:szCs w:val="20"/>
          <w:color w:val="auto"/>
        </w:rPr>
      </w:pPr>
      <w:r>
        <w:rPr>
          <w:rFonts w:ascii="Times New Roman" w:cs="Times New Roman" w:eastAsia="Times New Roman" w:hAnsi="Times New Roman"/>
          <w:sz w:val="14"/>
          <w:szCs w:val="14"/>
          <w:color w:val="auto"/>
        </w:rPr>
        <w:t>2022, the PCAOB issued a report that vacated its December 16, 2021 determination and removed mainland</w:t>
      </w:r>
    </w:p>
    <w:p>
      <w:pPr>
        <w:spacing w:after="0"/>
        <w:rPr>
          <w:sz w:val="20"/>
          <w:szCs w:val="20"/>
          <w:color w:val="auto"/>
        </w:rPr>
      </w:pPr>
      <w:r>
        <w:rPr>
          <w:rFonts w:ascii="Times New Roman" w:cs="Times New Roman" w:eastAsia="Times New Roman" w:hAnsi="Times New Roman"/>
          <w:sz w:val="14"/>
          <w:szCs w:val="14"/>
          <w:color w:val="auto"/>
        </w:rPr>
        <w:t>China and Hong Kong from the list of jurisdictions where it is unable to inspect or investigate completely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public accounting firms. For this reason, we were not identified as a Commission-Identified</w:t>
      </w:r>
    </w:p>
    <w:p>
      <w:pPr>
        <w:spacing w:after="0" w:line="235" w:lineRule="auto"/>
        <w:rPr>
          <w:sz w:val="20"/>
          <w:szCs w:val="20"/>
          <w:color w:val="auto"/>
        </w:rPr>
      </w:pPr>
      <w:r>
        <w:rPr>
          <w:rFonts w:ascii="Times New Roman" w:cs="Times New Roman" w:eastAsia="Times New Roman" w:hAnsi="Times New Roman"/>
          <w:sz w:val="14"/>
          <w:szCs w:val="14"/>
          <w:color w:val="auto"/>
        </w:rPr>
        <w:t>Issuer under the HFCAA after we filed the 2025 Form 20-F. Each year, the PCAOB will determine whether</w:t>
      </w:r>
    </w:p>
    <w:p>
      <w:pPr>
        <w:spacing w:after="0"/>
        <w:rPr>
          <w:sz w:val="20"/>
          <w:szCs w:val="20"/>
          <w:color w:val="auto"/>
        </w:rPr>
      </w:pPr>
      <w:r>
        <w:rPr>
          <w:rFonts w:ascii="Times New Roman" w:cs="Times New Roman" w:eastAsia="Times New Roman" w:hAnsi="Times New Roman"/>
          <w:sz w:val="14"/>
          <w:szCs w:val="14"/>
          <w:color w:val="auto"/>
        </w:rPr>
        <w:t>it can inspect and investigate completely audit firms in mainland China and Hong Kong, among other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jurisdictions. If the PCAOB determines in the future that it no longer has full access to inspect and</w:t>
      </w:r>
    </w:p>
    <w:p>
      <w:pPr>
        <w:spacing w:after="0"/>
        <w:rPr>
          <w:sz w:val="20"/>
          <w:szCs w:val="20"/>
          <w:color w:val="auto"/>
        </w:rPr>
      </w:pPr>
      <w:r>
        <w:rPr>
          <w:rFonts w:ascii="Times New Roman" w:cs="Times New Roman" w:eastAsia="Times New Roman" w:hAnsi="Times New Roman"/>
          <w:sz w:val="14"/>
          <w:szCs w:val="14"/>
          <w:color w:val="auto"/>
        </w:rPr>
        <w:t>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245110</wp:posOffset>
            </wp:positionV>
            <wp:extent cx="530542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05425" cy="38735"/>
                    </a:xfrm>
                    <a:prstGeom prst="rect">
                      <a:avLst/>
                    </a:prstGeom>
                    <a:noFill/>
                  </pic:spPr>
                </pic:pic>
              </a:graphicData>
            </a:graphic>
          </wp:anchor>
        </w:drawing>
      </w:r>
    </w:p>
    <w:p>
      <w:pPr>
        <w:sectPr>
          <w:pgSz w:w="11900" w:h="16838" w:orient="portrait"/>
          <w:cols w:equalWidth="0" w:num="2">
            <w:col w:w="1280" w:space="280"/>
            <w:col w:w="7459"/>
          </w:cols>
          <w:pgMar w:left="1440" w:top="107" w:right="1440" w:bottom="1440" w:gutter="0" w:footer="0" w:header="0"/>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p>
    <w:p>
      <w:pPr>
        <w:spacing w:after="0" w:line="357" w:lineRule="exact"/>
        <w:rPr>
          <w:sz w:val="20"/>
          <w:szCs w:val="20"/>
          <w:color w:val="auto"/>
        </w:rPr>
      </w:pPr>
    </w:p>
    <w:tbl>
      <w:tblPr>
        <w:tblLayout w:type="fixed"/>
        <w:tblInd w:w="1020" w:type="dxa"/>
        <w:tblCellMar>
          <w:top w:w="0" w:type="dxa"/>
          <w:left w:w="0" w:type="dxa"/>
          <w:bottom w:w="0" w:type="dxa"/>
          <w:right w:w="0" w:type="dxa"/>
        </w:tblCellMar>
      </w:tblPr>
      <w:tr>
        <w:trPr>
          <w:trHeight w:val="219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Securities and Exchange Commission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or sale is not permitted.</w:t>
            </w:r>
          </w:p>
        </w:tc>
      </w:tr>
      <w:tr>
        <w:trPr>
          <w:trHeight w:val="4802"/>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be changed. We may not sell these securities until the registration statement filed with</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securities and it is not soliciting an offer to buy these securities in any state where the offer</w:t>
            </w:r>
          </w:p>
        </w:tc>
      </w:tr>
      <w:tr>
        <w:trPr>
          <w:trHeight w:val="94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not complete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offer to sell these</w:t>
            </w:r>
          </w:p>
        </w:tc>
      </w:tr>
      <w:tr>
        <w:trPr>
          <w:trHeight w:val="110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in this prospectus 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prospectus is not an</w:t>
            </w:r>
          </w:p>
        </w:tc>
      </w:tr>
      <w:tr>
        <w:trPr>
          <w:trHeight w:val="86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The information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completely accounting firms in mainland China and Hong Kong and we use an accounting firm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headquartered in one of these jurisdictions to issue an audit report on our financial statements filed with the</w:t>
      </w:r>
    </w:p>
    <w:p>
      <w:pPr>
        <w:spacing w:after="0"/>
        <w:rPr>
          <w:sz w:val="20"/>
          <w:szCs w:val="20"/>
          <w:color w:val="auto"/>
        </w:rPr>
      </w:pPr>
      <w:r>
        <w:rPr>
          <w:rFonts w:ascii="Times New Roman" w:cs="Times New Roman" w:eastAsia="Times New Roman" w:hAnsi="Times New Roman"/>
          <w:sz w:val="14"/>
          <w:szCs w:val="14"/>
          <w:color w:val="auto"/>
        </w:rPr>
        <w:t>SEC, we would be identified as a Commission-Identified Issuer following the filing of the annual report 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20-F for the relevant fiscal year. There can be no assurance that we would not be identified as a</w:t>
      </w:r>
    </w:p>
    <w:p>
      <w:pPr>
        <w:spacing w:after="0" w:line="235" w:lineRule="auto"/>
        <w:rPr>
          <w:sz w:val="20"/>
          <w:szCs w:val="20"/>
          <w:color w:val="auto"/>
        </w:rPr>
      </w:pPr>
      <w:r>
        <w:rPr>
          <w:rFonts w:ascii="Times New Roman" w:cs="Times New Roman" w:eastAsia="Times New Roman" w:hAnsi="Times New Roman"/>
          <w:sz w:val="14"/>
          <w:szCs w:val="14"/>
          <w:color w:val="auto"/>
        </w:rPr>
        <w:t>Commission-Identified Issuer for any future fiscal year, and if we were so identified for two</w:t>
      </w:r>
    </w:p>
    <w:p>
      <w:pPr>
        <w:spacing w:after="0"/>
        <w:rPr>
          <w:sz w:val="20"/>
          <w:szCs w:val="20"/>
          <w:color w:val="auto"/>
        </w:rPr>
      </w:pPr>
      <w:r>
        <w:rPr>
          <w:rFonts w:ascii="Times New Roman" w:cs="Times New Roman" w:eastAsia="Times New Roman" w:hAnsi="Times New Roman"/>
          <w:sz w:val="14"/>
          <w:szCs w:val="14"/>
          <w:color w:val="auto"/>
        </w:rPr>
        <w:t>consecutive years, we would become subject to the prohibition on trading under the HFCAA. See “Item 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Information — D. Risk Factors — Risks Related to Doing Business in China — The PCAOB had</w:t>
      </w:r>
    </w:p>
    <w:p>
      <w:pPr>
        <w:spacing w:after="0" w:line="235" w:lineRule="auto"/>
        <w:rPr>
          <w:sz w:val="20"/>
          <w:szCs w:val="20"/>
          <w:color w:val="auto"/>
        </w:rPr>
      </w:pPr>
      <w:r>
        <w:rPr>
          <w:rFonts w:ascii="Times New Roman" w:cs="Times New Roman" w:eastAsia="Times New Roman" w:hAnsi="Times New Roman"/>
          <w:sz w:val="14"/>
          <w:szCs w:val="14"/>
          <w:color w:val="auto"/>
        </w:rPr>
        <w:t>historically been unable to inspect our auditor in relation to their audit work performed for our financial</w:t>
      </w:r>
    </w:p>
    <w:p>
      <w:pPr>
        <w:spacing w:after="0"/>
        <w:rPr>
          <w:sz w:val="20"/>
          <w:szCs w:val="20"/>
          <w:color w:val="auto"/>
        </w:rPr>
      </w:pPr>
      <w:r>
        <w:rPr>
          <w:rFonts w:ascii="Times New Roman" w:cs="Times New Roman" w:eastAsia="Times New Roman" w:hAnsi="Times New Roman"/>
          <w:sz w:val="14"/>
          <w:szCs w:val="14"/>
          <w:color w:val="auto"/>
        </w:rPr>
        <w:t>statements and the inability of the PCAOB to conduct inspections of our auditor in the past has deprived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investors with the benefits of such inspections” and “Item 3. Key Information — D. Risk Factors — Risks</w:t>
      </w:r>
    </w:p>
    <w:p>
      <w:pPr>
        <w:spacing w:after="0" w:line="235" w:lineRule="auto"/>
        <w:rPr>
          <w:sz w:val="20"/>
          <w:szCs w:val="20"/>
          <w:color w:val="auto"/>
        </w:rPr>
      </w:pPr>
      <w:r>
        <w:rPr>
          <w:rFonts w:ascii="Times New Roman" w:cs="Times New Roman" w:eastAsia="Times New Roman" w:hAnsi="Times New Roman"/>
          <w:sz w:val="14"/>
          <w:szCs w:val="14"/>
          <w:color w:val="auto"/>
        </w:rPr>
        <w:t>Related to Doing Business in China — Our ADSs may be prohibited from trading in the United States under</w:t>
      </w:r>
    </w:p>
    <w:p>
      <w:pPr>
        <w:spacing w:after="0"/>
        <w:rPr>
          <w:sz w:val="20"/>
          <w:szCs w:val="20"/>
          <w:color w:val="auto"/>
        </w:rPr>
      </w:pPr>
      <w:r>
        <w:rPr>
          <w:rFonts w:ascii="Times New Roman" w:cs="Times New Roman" w:eastAsia="Times New Roman" w:hAnsi="Times New Roman"/>
          <w:sz w:val="14"/>
          <w:szCs w:val="14"/>
          <w:color w:val="auto"/>
        </w:rPr>
        <w:t>the HFCAA in the future if the PCAOB is unable to inspect or investigate completely auditors located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 The delisting of trading of the ADSs, or the threat of their being delisted, may materially and</w:t>
      </w:r>
    </w:p>
    <w:p>
      <w:pPr>
        <w:spacing w:after="0"/>
        <w:rPr>
          <w:sz w:val="20"/>
          <w:szCs w:val="20"/>
          <w:color w:val="auto"/>
        </w:rPr>
      </w:pPr>
      <w:r>
        <w:rPr>
          <w:rFonts w:ascii="Times New Roman" w:cs="Times New Roman" w:eastAsia="Times New Roman" w:hAnsi="Times New Roman"/>
          <w:sz w:val="14"/>
          <w:szCs w:val="14"/>
          <w:color w:val="auto"/>
        </w:rPr>
        <w:t>adversely affect the value of your investment” of the 2025 Form 20-F.</w:t>
      </w:r>
    </w:p>
    <w:p>
      <w:pPr>
        <w:spacing w:after="0" w:line="97" w:lineRule="exact"/>
        <w:rPr>
          <w:sz w:val="20"/>
          <w:szCs w:val="20"/>
          <w:color w:val="auto"/>
        </w:rPr>
      </w:pPr>
    </w:p>
    <w:p>
      <w:pPr>
        <w:ind w:right="1099" w:firstLine="280"/>
        <w:spacing w:after="0" w:line="242" w:lineRule="auto"/>
        <w:rPr>
          <w:sz w:val="20"/>
          <w:szCs w:val="20"/>
          <w:color w:val="auto"/>
        </w:rPr>
      </w:pPr>
      <w:r>
        <w:rPr>
          <w:rFonts w:ascii="Times New Roman" w:cs="Times New Roman" w:eastAsia="Times New Roman" w:hAnsi="Times New Roman"/>
          <w:sz w:val="14"/>
          <w:szCs w:val="14"/>
          <w:color w:val="auto"/>
        </w:rPr>
        <w:t>We conduct our operations primarily through our WFOE and the VIE. As a result, Aurora’s ability to pay dividends depends upon 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its after-tax profits based on mainland China’s accounting standards to a discretionary surplus fund at its discretion. The statutory reserve funds and the discretionary funds are not distributable as cash dividends. For more details, see “Item 5. Operating and Financial Review and Prospects — B. Liquidity and Capital Resources — Holding Company Structure” and “Item 3. Key Information — Cash Flows through Our Organization” of the 2025 Form 20-F.</w:t>
      </w:r>
    </w:p>
    <w:p>
      <w:pPr>
        <w:spacing w:after="0" w:line="93" w:lineRule="exact"/>
        <w:rPr>
          <w:sz w:val="20"/>
          <w:szCs w:val="20"/>
          <w:color w:val="auto"/>
        </w:rPr>
      </w:pPr>
    </w:p>
    <w:p>
      <w:pPr>
        <w:ind w:right="1239" w:firstLine="280"/>
        <w:spacing w:after="0" w:line="327" w:lineRule="auto"/>
        <w:rPr>
          <w:sz w:val="20"/>
          <w:szCs w:val="20"/>
          <w:color w:val="auto"/>
        </w:rPr>
      </w:pPr>
      <w:r>
        <w:rPr>
          <w:rFonts w:ascii="Times New Roman" w:cs="Times New Roman" w:eastAsia="Times New Roman" w:hAnsi="Times New Roman"/>
          <w:sz w:val="13"/>
          <w:szCs w:val="13"/>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315595</wp:posOffset>
            </wp:positionV>
            <wp:extent cx="530542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05425" cy="38735"/>
                    </a:xfrm>
                    <a:prstGeom prst="rect">
                      <a:avLst/>
                    </a:prstGeom>
                    <a:noFill/>
                  </pic:spPr>
                </pic:pic>
              </a:graphicData>
            </a:graphic>
          </wp:anchor>
        </w:drawing>
      </w:r>
    </w:p>
    <w:p>
      <w:pPr>
        <w:sectPr>
          <w:pgSz w:w="11900" w:h="16838" w:orient="portrait"/>
          <w:cols w:equalWidth="0" w:num="2">
            <w:col w:w="1280" w:space="280"/>
            <w:col w:w="745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800" w:type="dxa"/>
            <w:vAlign w:val="bottom"/>
            <w:gridSpan w:val="10"/>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2280" w:type="dxa"/>
            <w:vAlign w:val="bottom"/>
            <w:gridSpan w:val="7"/>
            <w:shd w:val="clear" w:color="auto" w:fill="CCEEFF"/>
          </w:tcPr>
          <w:p>
            <w:pPr>
              <w:spacing w:after="0"/>
              <w:rPr>
                <w:sz w:val="10"/>
                <w:szCs w:val="10"/>
                <w:color w:val="auto"/>
              </w:rPr>
            </w:pPr>
          </w:p>
        </w:tc>
        <w:tc>
          <w:tcPr>
            <w:tcW w:w="2320" w:type="dxa"/>
            <w:vAlign w:val="bottom"/>
            <w:tcBorders>
              <w:right w:val="single" w:sz="8" w:color="CCEEFF"/>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80" w:type="dxa"/>
            <w:vAlign w:val="bottom"/>
            <w:gridSpan w:val="17"/>
          </w:tcPr>
          <w:p>
            <w:pPr>
              <w:spacing w:after="0" w:line="158"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18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60" w:type="dxa"/>
            <w:vAlign w:val="bottom"/>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PROSPECTUS SUMMARY</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80" w:type="dxa"/>
            <w:vAlign w:val="bottom"/>
            <w:tcBorders>
              <w:bottom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tcBorders>
              <w:bottom w:val="single" w:sz="8" w:color="CCEEFF"/>
            </w:tcBorders>
            <w:gridSpan w:val="2"/>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THE OFFERING</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20" w:type="dxa"/>
            <w:vAlign w:val="bottom"/>
            <w:tcBorders>
              <w:bottom w:val="single" w:sz="8" w:color="CCEEFF"/>
            </w:tcBorders>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gridSpan w:val="2"/>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gridSpan w:val="3"/>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SELLING SECURITYHOLDER</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940" w:type="dxa"/>
            <w:vAlign w:val="bottom"/>
            <w:tcBorders>
              <w:bottom w:val="single" w:sz="8" w:color="CCEEFF"/>
            </w:tcBorders>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6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CAPITALIZATION</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CCEEFF"/>
            </w:tcBorders>
            <w:gridSpan w:val="6"/>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120" w:type="dxa"/>
            <w:vAlign w:val="bottom"/>
            <w:tcBorders>
              <w:bottom w:val="single" w:sz="8" w:color="CCEEFF"/>
            </w:tcBorders>
            <w:gridSpan w:val="6"/>
            <w:shd w:val="clear" w:color="auto" w:fill="CCEEFF"/>
          </w:tcPr>
          <w:p>
            <w:pPr>
              <w:spacing w:after="0" w:line="20" w:lineRule="exact"/>
              <w:rPr>
                <w:sz w:val="1"/>
                <w:szCs w:val="1"/>
                <w:color w:val="auto"/>
              </w:rPr>
            </w:pPr>
          </w:p>
        </w:tc>
        <w:tc>
          <w:tcPr>
            <w:tcW w:w="4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DESCRIPTION OF SHARE CAPITAL</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2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AMERICAN DEPOSITARY SHARES</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500" w:type="dxa"/>
            <w:vAlign w:val="bottom"/>
            <w:tcBorders>
              <w:bottom w:val="single" w:sz="8" w:color="CCEEFF"/>
            </w:tcBorders>
            <w:gridSpan w:val="16"/>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ENFORCEABILITY OF CIVIL LIABILITIES</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760" w:type="dxa"/>
            <w:vAlign w:val="bottom"/>
            <w:gridSpan w:val="1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EXPENSES</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2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Borders>
              <w:bottom w:val="single" w:sz="8" w:color="CCEEFF"/>
            </w:tcBorders>
            <w:gridSpan w:val="3"/>
            <w:shd w:val="clear" w:color="auto" w:fill="CCEEFF"/>
          </w:tcPr>
          <w:p>
            <w:pPr>
              <w:spacing w:after="0" w:line="20" w:lineRule="exact"/>
              <w:rPr>
                <w:sz w:val="1"/>
                <w:szCs w:val="1"/>
                <w:color w:val="auto"/>
              </w:rPr>
            </w:pPr>
          </w:p>
        </w:tc>
        <w:tc>
          <w:tcPr>
            <w:tcW w:w="1900" w:type="dxa"/>
            <w:vAlign w:val="bottom"/>
            <w:tcBorders>
              <w:bottom w:val="single" w:sz="8" w:color="CCEEFF"/>
            </w:tcBorders>
            <w:gridSpan w:val="10"/>
            <w:shd w:val="clear" w:color="auto" w:fill="CCEEFF"/>
          </w:tcPr>
          <w:p>
            <w:pPr>
              <w:spacing w:after="0" w:line="20" w:lineRule="exact"/>
              <w:rPr>
                <w:sz w:val="1"/>
                <w:szCs w:val="1"/>
                <w:color w:val="auto"/>
              </w:rPr>
            </w:pPr>
          </w:p>
        </w:tc>
        <w:tc>
          <w:tcPr>
            <w:tcW w:w="1000" w:type="dxa"/>
            <w:vAlign w:val="bottom"/>
            <w:tcBorders>
              <w:bottom w:val="single" w:sz="8" w:color="CCEEFF"/>
            </w:tcBorders>
            <w:gridSpan w:val="2"/>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80" w:type="dxa"/>
            <w:vAlign w:val="bottom"/>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900" w:type="dxa"/>
            <w:vAlign w:val="bottom"/>
            <w:gridSpan w:val="1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460" w:type="dxa"/>
            <w:vAlign w:val="bottom"/>
            <w:tcBorders>
              <w:bottom w:val="single" w:sz="8" w:color="CCEEFF"/>
            </w:tcBorders>
            <w:gridSpan w:val="14"/>
            <w:shd w:val="clear" w:color="auto" w:fill="CCEEFF"/>
          </w:tcPr>
          <w:p>
            <w:pPr>
              <w:spacing w:after="0" w:line="20" w:lineRule="exact"/>
              <w:rPr>
                <w:sz w:val="1"/>
                <w:szCs w:val="1"/>
                <w:color w:val="auto"/>
              </w:rPr>
            </w:pPr>
          </w:p>
        </w:tc>
        <w:tc>
          <w:tcPr>
            <w:tcW w:w="1000" w:type="dxa"/>
            <w:vAlign w:val="bottom"/>
            <w:tcBorders>
              <w:bottom w:val="single" w:sz="8" w:color="CCEEFF"/>
            </w:tcBorders>
            <w:gridSpan w:val="2"/>
            <w:shd w:val="clear" w:color="auto" w:fill="CCEEFF"/>
          </w:tcPr>
          <w:p>
            <w:pPr>
              <w:spacing w:after="0" w:line="20" w:lineRule="exact"/>
              <w:rPr>
                <w:sz w:val="1"/>
                <w:szCs w:val="1"/>
                <w:color w:val="auto"/>
              </w:rPr>
            </w:pP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408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2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80" w:type="dxa"/>
            <w:vAlign w:val="bottom"/>
            <w:gridSpan w:val="1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00" w:type="dxa"/>
            <w:vAlign w:val="bottom"/>
            <w:gridSpan w:val="2"/>
          </w:tcPr>
          <w:p>
            <w:pPr>
              <w:spacing w:after="0" w:line="20" w:lineRule="exact"/>
              <w:rPr>
                <w:sz w:val="1"/>
                <w:szCs w:val="1"/>
                <w:color w:val="auto"/>
              </w:rPr>
            </w:pPr>
          </w:p>
        </w:tc>
        <w:tc>
          <w:tcPr>
            <w:tcW w:w="2180" w:type="dxa"/>
            <w:vAlign w:val="bottom"/>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2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80" w:type="dxa"/>
            <w:vAlign w:val="bottom"/>
            <w:tcBorders>
              <w:bottom w:val="single" w:sz="8" w:color="CCEEFF"/>
            </w:tcBorders>
            <w:gridSpan w:val="1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180" w:type="dxa"/>
            <w:vAlign w:val="bottom"/>
            <w:tcBorders>
              <w:bottom w:val="single" w:sz="8" w:color="CCEEFF"/>
            </w:tcBorders>
            <w:shd w:val="clear" w:color="auto" w:fill="CCEEFF"/>
          </w:tcPr>
          <w:p>
            <w:pPr>
              <w:ind w:left="204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300" w:right="1319" w:firstLine="281"/>
        <w:spacing w:after="0" w:line="279"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or incorporated by reference into this prospectus, in the applicable prospectus supplement or in any free writing prospectus filed by us with the SEC. We have not, and the selling securityholder has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78" w:lineRule="exact"/>
        <w:rPr>
          <w:sz w:val="20"/>
          <w:szCs w:val="20"/>
          <w:color w:val="auto"/>
        </w:rPr>
      </w:pPr>
    </w:p>
    <w:p>
      <w:pPr>
        <w:ind w:left="1300" w:right="1419" w:firstLine="281"/>
        <w:spacing w:after="0" w:line="286" w:lineRule="auto"/>
        <w:rPr>
          <w:sz w:val="20"/>
          <w:szCs w:val="20"/>
          <w:color w:val="auto"/>
        </w:rPr>
      </w:pPr>
      <w:r>
        <w:rPr>
          <w:rFonts w:ascii="Times New Roman" w:cs="Times New Roman" w:eastAsia="Times New Roman" w:hAnsi="Times New Roman"/>
          <w:sz w:val="14"/>
          <w:szCs w:val="14"/>
          <w:b w:val="1"/>
          <w:bCs w:val="1"/>
          <w:color w:val="auto"/>
        </w:rPr>
        <w:t>We are not, and the selling securityholder is not, making an offer to sell the securities or soliciting an offer to buy the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using a “shelf” registration process. Under this shelf registration process, the selling securityholder may, from time to time, offer and sell, as applicable, any of the Class A common shares (or ADSs representing such shares) described in this prospectus in one or more offerings, through any means described in the section entitled “Plan of Distribution.” We may also add, update or change other information contained in this prospectus by means of a prospectus supplement or by incorporating by reference information we file with the SEC. If there is any inconsistency between the information in this prospectus and any applicable prospectus supplement, you should rely on the information in the applicable prospectus supplement. 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Documents by Reference.”</w:t>
      </w:r>
    </w:p>
    <w:p>
      <w:pPr>
        <w:spacing w:after="0" w:line="251" w:lineRule="exact"/>
        <w:rPr>
          <w:sz w:val="20"/>
          <w:szCs w:val="20"/>
          <w:color w:val="auto"/>
        </w:rPr>
      </w:pPr>
    </w:p>
    <w:p>
      <w:pPr>
        <w:ind w:left="1300" w:right="1359" w:firstLine="281"/>
        <w:spacing w:after="0" w:line="247"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any prospectus supplement or any document incorporated by reference is truthful or complete at any date other than the date mentioned on the cover page of any such document, regardless of the time of delivery of this prospectus or any applicable prospectus supplement, or any sale of a security. Our business, financial condition, results of operations and prospects may have changed since those dates.</w:t>
      </w:r>
    </w:p>
    <w:p>
      <w:pPr>
        <w:spacing w:after="0" w:line="87"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52" w:lineRule="exact"/>
        <w:rPr>
          <w:sz w:val="20"/>
          <w:szCs w:val="20"/>
          <w:color w:val="auto"/>
        </w:rPr>
      </w:pPr>
    </w:p>
    <w:p>
      <w:pPr>
        <w:ind w:left="1580" w:right="1559"/>
        <w:spacing w:after="0" w:line="415" w:lineRule="auto"/>
        <w:rPr>
          <w:sz w:val="20"/>
          <w:szCs w:val="20"/>
          <w:color w:val="auto"/>
        </w:rPr>
      </w:pPr>
      <w:r>
        <w:rPr>
          <w:rFonts w:ascii="Times New Roman" w:cs="Times New Roman" w:eastAsia="Times New Roman" w:hAnsi="Times New Roman"/>
          <w:sz w:val="14"/>
          <w:szCs w:val="14"/>
          <w:color w:val="auto"/>
        </w:rPr>
        <w:t>In this prospectus, unless otherwise indicated or unless the context otherwise requires, references to “ADRs” are to the American depositary receipts which may evidence the ADSs;</w:t>
      </w:r>
    </w:p>
    <w:p>
      <w:pPr>
        <w:spacing w:after="0" w:line="1" w:lineRule="exact"/>
        <w:rPr>
          <w:sz w:val="20"/>
          <w:szCs w:val="20"/>
          <w:color w:val="auto"/>
        </w:rPr>
      </w:pPr>
    </w:p>
    <w:p>
      <w:pPr>
        <w:ind w:left="1300" w:right="1419" w:firstLine="281"/>
        <w:spacing w:after="0" w:line="247" w:lineRule="auto"/>
        <w:rPr>
          <w:sz w:val="20"/>
          <w:szCs w:val="20"/>
          <w:color w:val="auto"/>
        </w:rPr>
      </w:pPr>
      <w:r>
        <w:rPr>
          <w:rFonts w:ascii="Times New Roman" w:cs="Times New Roman" w:eastAsia="Times New Roman" w:hAnsi="Times New Roman"/>
          <w:sz w:val="14"/>
          <w:szCs w:val="14"/>
          <w:color w:val="auto"/>
        </w:rPr>
        <w:t>“ADSs” refers to our American depositary shares, every 3 of which represent 40 Class A common shares; On December 11, 2023, we effected an ADS ratio change to adjust our common share to ADS ratio from 3 ADSs representing 2 Class A common shares to 3 ADSs representing 40 Class A common shares. Except otherwise stated, the ADS ratio change has been retrospectively applied for all periods presented in this prospectus;</w:t>
      </w:r>
    </w:p>
    <w:p>
      <w:pPr>
        <w:spacing w:after="0" w:line="8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“AI” refers to artificial intelligence;</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“Aurora” refers to Aurora Mobile Limited, our Cayman Islands holding company;</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“BVI” refers to the British Virgin Islands;</w:t>
      </w:r>
    </w:p>
    <w:p>
      <w:pPr>
        <w:spacing w:after="0" w:line="1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“China” or the “PRC” refers to the People’s Republic of China, including Hong Kong and Macau;</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“Class A common shares” refers to our Class A common shares of par value US$0.0001 per share;</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“Class B common shares” refers to our Class B common shares of par value US$0.0001 per share;</w:t>
      </w:r>
    </w:p>
    <w:p>
      <w:pPr>
        <w:spacing w:after="0" w:line="1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“common shares” refers to our common shares, par value US$0.0001 per share;</w:t>
      </w:r>
    </w:p>
    <w:p>
      <w:pPr>
        <w:spacing w:after="0" w:line="123" w:lineRule="exact"/>
        <w:rPr>
          <w:sz w:val="20"/>
          <w:szCs w:val="20"/>
          <w:color w:val="auto"/>
        </w:rPr>
      </w:pPr>
    </w:p>
    <w:p>
      <w:pPr>
        <w:ind w:left="1300" w:right="1719" w:firstLine="281"/>
        <w:spacing w:after="0" w:line="268" w:lineRule="auto"/>
        <w:rPr>
          <w:sz w:val="20"/>
          <w:szCs w:val="20"/>
          <w:color w:val="auto"/>
        </w:rPr>
      </w:pPr>
      <w:r>
        <w:rPr>
          <w:rFonts w:ascii="Times New Roman" w:cs="Times New Roman" w:eastAsia="Times New Roman" w:hAnsi="Times New Roman"/>
          <w:sz w:val="14"/>
          <w:szCs w:val="14"/>
          <w:color w:val="auto"/>
        </w:rPr>
        <w:t>“cumulative app installations” as of a certain date are to the cumulative number of apps that have installed one or more of the SDKs offered as part of our developer services as of the same date;</w:t>
      </w:r>
    </w:p>
    <w:p>
      <w:pPr>
        <w:spacing w:after="0" w:line="72" w:lineRule="exact"/>
        <w:rPr>
          <w:sz w:val="20"/>
          <w:szCs w:val="20"/>
          <w:color w:val="auto"/>
        </w:rPr>
      </w:pPr>
    </w:p>
    <w:p>
      <w:pPr>
        <w:ind w:left="1300" w:right="1359" w:firstLine="281"/>
        <w:spacing w:after="0" w:line="252" w:lineRule="auto"/>
        <w:rPr>
          <w:sz w:val="20"/>
          <w:szCs w:val="20"/>
          <w:color w:val="auto"/>
        </w:rPr>
      </w:pPr>
      <w:r>
        <w:rPr>
          <w:rFonts w:ascii="Times New Roman" w:cs="Times New Roman" w:eastAsia="Times New Roman" w:hAnsi="Times New Roman"/>
          <w:sz w:val="14"/>
          <w:szCs w:val="14"/>
          <w:color w:val="auto"/>
        </w:rPr>
        <w:t>“customers” in a given period are to those that purchase at least one of our paid-for SAAS Businesses or targeted marketing during the same period. We treat each contracting party as a separate customer although it is possible that a company may have more than one contracting party to enter into contracts with us and multiple entities within one corporate group may use the same contracting party to enter into contracts with us;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739" w:firstLine="281"/>
        <w:spacing w:after="0" w:line="283" w:lineRule="auto"/>
        <w:rPr>
          <w:sz w:val="20"/>
          <w:szCs w:val="20"/>
          <w:color w:val="auto"/>
        </w:rPr>
      </w:pPr>
      <w:r>
        <w:rPr>
          <w:rFonts w:ascii="Times New Roman" w:cs="Times New Roman" w:eastAsia="Times New Roman" w:hAnsi="Times New Roman"/>
          <w:sz w:val="14"/>
          <w:szCs w:val="14"/>
          <w:color w:val="auto"/>
        </w:rPr>
        <w:t>“GAAP” or “U.S. GAAP” are to accounting principles generally accepted in the United States of America;</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“SAAS Businesses” refers to our developer services and vertical applications;</w:t>
      </w:r>
    </w:p>
    <w:p>
      <w:pPr>
        <w:spacing w:after="0" w:line="123" w:lineRule="exact"/>
        <w:rPr>
          <w:sz w:val="20"/>
          <w:szCs w:val="20"/>
          <w:color w:val="auto"/>
        </w:rPr>
      </w:pPr>
    </w:p>
    <w:p>
      <w:pPr>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“VIE” refers to Shenzhen Hexun Huagu Information Technology Co., Ltd., or Hexun Huagu, including its subsidiaries, Wuhan SendCloud Technology Co., Ltd., or Wuhan SendCloud, and Ifaxin (Hubei) Cloud Co., Ltd., or Ifaxin;</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“WFOE” refers to JPush Information Consultation (Shenzhen) Co., Ltd., or Shenzhen JPush;</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“RMB” and “Renminbi” refer to the legal currency of mainland China;</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“SAAS” refers to Software-as-a-Service;</w:t>
      </w:r>
    </w:p>
    <w:p>
      <w:pPr>
        <w:spacing w:after="0" w:line="1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“US$,” “U.S. dollars,” “$,” and “dollars” refer to the legal currency of the United States; and</w:t>
      </w:r>
    </w:p>
    <w:p>
      <w:pPr>
        <w:spacing w:after="0" w:line="123" w:lineRule="exact"/>
        <w:rPr>
          <w:sz w:val="20"/>
          <w:szCs w:val="20"/>
          <w:color w:val="auto"/>
        </w:rPr>
      </w:pPr>
    </w:p>
    <w:p>
      <w:pPr>
        <w:ind w:left="1300" w:right="1599" w:firstLine="281"/>
        <w:spacing w:after="0" w:line="283" w:lineRule="auto"/>
        <w:rPr>
          <w:sz w:val="20"/>
          <w:szCs w:val="20"/>
          <w:color w:val="auto"/>
        </w:rPr>
      </w:pPr>
      <w:r>
        <w:rPr>
          <w:rFonts w:ascii="Times New Roman" w:cs="Times New Roman" w:eastAsia="Times New Roman" w:hAnsi="Times New Roman"/>
          <w:sz w:val="14"/>
          <w:szCs w:val="14"/>
          <w:color w:val="auto"/>
        </w:rPr>
        <w:t>“we,” “us,” “our company” and “our” refer to Aurora Mobile Limited, our Cayman Islands holding company, and its subsidiaries.</w:t>
      </w:r>
    </w:p>
    <w:p>
      <w:pPr>
        <w:spacing w:after="0" w:line="73" w:lineRule="exact"/>
        <w:rPr>
          <w:sz w:val="20"/>
          <w:szCs w:val="20"/>
          <w:color w:val="auto"/>
        </w:rPr>
      </w:pPr>
    </w:p>
    <w:p>
      <w:pPr>
        <w:ind w:left="1300" w:right="1419" w:firstLine="281"/>
        <w:spacing w:after="0" w:line="259" w:lineRule="auto"/>
        <w:rPr>
          <w:sz w:val="20"/>
          <w:szCs w:val="20"/>
          <w:color w:val="auto"/>
        </w:rPr>
      </w:pPr>
      <w:r>
        <w:rPr>
          <w:rFonts w:ascii="Times New Roman" w:cs="Times New Roman" w:eastAsia="Times New Roman" w:hAnsi="Times New Roman"/>
          <w:sz w:val="14"/>
          <w:szCs w:val="14"/>
          <w:color w:val="auto"/>
        </w:rPr>
        <w:t>Unless otherwise noted, all translations from Renminbi to U.S. dollars and from U.S. dollars to Renminbi in this prospectus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78"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References in any prospectus supplement to “the accompanying prospectus” are to this prospectus and to “the prospectus” are to this prospectus and the applicable prospectus supplement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231" w:lineRule="exact"/>
        <w:rPr>
          <w:sz w:val="20"/>
          <w:szCs w:val="20"/>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goals and strategies;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business development, financial conditions and results of operations;</w:t>
      </w:r>
    </w:p>
    <w:p>
      <w:pPr>
        <w:spacing w:after="0" w:line="9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continually develop new technology, services and products and keep up with changes in the industries in which we operate;</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growth of the mobile internet industry and the mobile app developer services market in China;</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growing application of big data technology in China, including in areas such as mobile online marketing, financial risk management, and market intelligence services;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demand for and market acceptance of our SAAS Businesses;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relationships with app developers, customers, strategic partners and other stakeholders;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our industry;</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policies and regulations relating to our industry;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general economic and business conditions in China and globally.</w:t>
      </w:r>
    </w:p>
    <w:p>
      <w:pPr>
        <w:spacing w:after="0" w:line="123"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The forward-looking statements included in this prospectus, in the documents incorporated by reference herein and in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applicable prospectus supplement.</w:t>
      </w:r>
    </w:p>
    <w:p>
      <w:pPr>
        <w:spacing w:after="0" w:line="78"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We would like to caution you not to place undue reliance on these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We qualify all of our forward-looking statements by these cautionary statements.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40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02125" cy="624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3" w:lineRule="exact"/>
        <w:rPr>
          <w:sz w:val="20"/>
          <w:szCs w:val="20"/>
          <w:color w:val="auto"/>
        </w:rPr>
      </w:pPr>
    </w:p>
    <w:p>
      <w:pPr>
        <w:ind w:left="1320" w:right="1439" w:firstLine="281"/>
        <w:spacing w:after="0" w:line="267"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along with the other documents incorporated by reference in this prospectus. Before making your investment decision with respect to our securities, you should carefully read this entire prospectus, including our financial statements and related notes and the other documents incorporated by reference in this prospectus, as well as any prospectus supplement or any other documents incorporated by reference herein or therein, including the information under the caption “Item 3. Key Information — D. Risk Factors” in the 2025 Form 20-F.</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25" w:lineRule="exact"/>
        <w:rPr>
          <w:sz w:val="20"/>
          <w:szCs w:val="20"/>
          <w:color w:val="auto"/>
        </w:rPr>
      </w:pPr>
    </w:p>
    <w:p>
      <w:pPr>
        <w:ind w:left="1320" w:right="1399" w:firstLine="281"/>
        <w:spacing w:after="0" w:line="263" w:lineRule="auto"/>
        <w:rPr>
          <w:sz w:val="20"/>
          <w:szCs w:val="20"/>
          <w:color w:val="auto"/>
        </w:rPr>
      </w:pPr>
      <w:r>
        <w:rPr>
          <w:rFonts w:ascii="Times New Roman" w:cs="Times New Roman" w:eastAsia="Times New Roman" w:hAnsi="Times New Roman"/>
          <w:sz w:val="14"/>
          <w:szCs w:val="14"/>
          <w:color w:val="auto"/>
        </w:rPr>
        <w:t>We are a leading provider of customer engagement and marketing technology services in mainland China. Through our developer services, we gain access to, aggregate, cleanse, structure and encrypt vast amounts of real-time and anonymous device-level mobile behavioral data. We utilize artificial intelligence, or AI, and machine learning to derive actionable insights and knowledge from this data, enabling our customers to make better business decisions. We are proud to have received the “SOC 2 Type II certification”, the “Golden Lingguang Cup” from the Internet Society of China, the “Artificial Intelligence Elite Enterprise Innovation Award”, the “HarmonyOS SDK Security Evaluation Certificate” from CAICT, the “2025 Data Security Xingyi Excellent Case”, the “Top 20 China AI Large Model Industry Innovation Service Providers” at WIM2025”, the “AI Tianma Zhenpin” award granted by the Shenzhen Artificial Intelligence Industry Association (GPTBots), the “High-Quality Digital Transformation Technology Solutions Collection (2025)” awarded by CAICT, “High-Quality Digital Transformation Products and Services Panorama (2025)” awarded by CAICT, the “Golden Sailing Award” from GICC 2024,” “Equal Ocean 2024 GoGlobal Software Services Top 10,” “The Most Investment-worthy Artificial Intelligence Award” by the Shenzhen Artificial Intelligence Industry Association (GPTBots), the “Top 50 Service Institutions for Chinese Enterprises’ Overseas Expansion” awarded by China Overseas Development Association, the “2024 Technological Innovation Leadership Award” awarded by the 13th CFC Financial Summit and 2024 Amazing Innovation and Entrepreneurs Festival, and the “Outstanding Enterprise Award for Digital Services” awarded by the 8th FMCG Retail Consumer Goods Digital Summit.</w:t>
      </w:r>
    </w:p>
    <w:p>
      <w:pPr>
        <w:spacing w:after="0" w:line="263" w:lineRule="exact"/>
        <w:rPr>
          <w:sz w:val="20"/>
          <w:szCs w:val="20"/>
          <w:color w:val="auto"/>
        </w:rPr>
      </w:pPr>
    </w:p>
    <w:p>
      <w:pPr>
        <w:ind w:left="1320" w:right="1299" w:firstLine="281"/>
        <w:spacing w:after="0" w:line="265" w:lineRule="auto"/>
        <w:rPr>
          <w:sz w:val="20"/>
          <w:szCs w:val="20"/>
          <w:color w:val="auto"/>
        </w:rPr>
      </w:pPr>
      <w:r>
        <w:rPr>
          <w:rFonts w:ascii="Times New Roman" w:cs="Times New Roman" w:eastAsia="Times New Roman" w:hAnsi="Times New Roman"/>
          <w:sz w:val="14"/>
          <w:szCs w:val="14"/>
          <w:color w:val="auto"/>
        </w:rPr>
        <w:t>We provide a comprehensive suite of services to mobile app developers in mainland China. Our developer services easily integrate with all types of mobile apps and provide core in-app functionalities needed by developers, including push notification, instant messaging, analytics, sharing and short message service, or SMS, one-click verification, and other services under JG Alliance. Our services had been used by approximately 786,900 mobile app developers in a great variety of industries, such as media, entertainment, gaming, financial services, tourism, ecommerce, and education, as of December 31, 2025. We are the partner of choice for many major internet companies, as well as many leading brands in various industries. The number of mobile apps utilizing at least one of our developer services, or the cumulative app installations, increased from over 1,919,000 as of December 31, 2023 to over 1,960,000 as of December 31, 2024, and further to over 1,990,000 as of December 31, 2025.</w:t>
      </w:r>
    </w:p>
    <w:p>
      <w:pPr>
        <w:spacing w:after="0" w:line="95" w:lineRule="exact"/>
        <w:rPr>
          <w:sz w:val="20"/>
          <w:szCs w:val="20"/>
          <w:color w:val="auto"/>
        </w:rPr>
      </w:pPr>
    </w:p>
    <w:p>
      <w:pPr>
        <w:ind w:left="1320" w:right="1379" w:firstLine="281"/>
        <w:spacing w:after="0" w:line="264" w:lineRule="auto"/>
        <w:rPr>
          <w:sz w:val="20"/>
          <w:szCs w:val="20"/>
          <w:color w:val="auto"/>
        </w:rPr>
      </w:pPr>
      <w:r>
        <w:rPr>
          <w:rFonts w:ascii="Times New Roman" w:cs="Times New Roman" w:eastAsia="Times New Roman" w:hAnsi="Times New Roman"/>
          <w:sz w:val="14"/>
          <w:szCs w:val="14"/>
          <w:color w:val="auto"/>
        </w:rPr>
        <w:t>Since our inception through December 31, 2025, we have accumulated data from over 83.8 billion installations of our software development kits, or SDKs, as part of our developer services. We only gain access to selected anonymous device-level data that is necessary for, and relevant to, the services provided. Once the original mobile behavioral data is collected, our data processing platform then stores, cleanses, structures and encrypts data for AI-powered modeling exercises in an aggregated and anonymized fashion. Our developer services can be integrated into multiple apps on the same device, which allows us to receive device-based data from different and multiple dimensions, both online and offline. We believe that our data is differentiated in its volume, variety, velocity and veracity.</w:t>
      </w:r>
    </w:p>
    <w:p>
      <w:pPr>
        <w:spacing w:after="0" w:line="99" w:lineRule="exact"/>
        <w:rPr>
          <w:sz w:val="20"/>
          <w:szCs w:val="20"/>
          <w:color w:val="auto"/>
        </w:rPr>
      </w:pPr>
    </w:p>
    <w:p>
      <w:pPr>
        <w:ind w:left="1320" w:right="1379" w:firstLine="281"/>
        <w:spacing w:after="0" w:line="275" w:lineRule="auto"/>
        <w:rPr>
          <w:sz w:val="20"/>
          <w:szCs w:val="20"/>
          <w:color w:val="auto"/>
        </w:rPr>
      </w:pPr>
      <w:r>
        <w:rPr>
          <w:rFonts w:ascii="Times New Roman" w:cs="Times New Roman" w:eastAsia="Times New Roman" w:hAnsi="Times New Roman"/>
          <w:sz w:val="14"/>
          <w:szCs w:val="14"/>
          <w:color w:val="auto"/>
        </w:rPr>
        <w:t>AI and machine learning are the key technologies we utilize to gain actionable and marketing effective insights from our data and to develop and refine our vertical applications. Leveraging these technologies built upon our massive and quality data foundation, we have developed a variety of solutions that offer</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53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02125" cy="625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479"/>
        <w:spacing w:after="0" w:line="283" w:lineRule="auto"/>
        <w:rPr>
          <w:sz w:val="20"/>
          <w:szCs w:val="20"/>
          <w:color w:val="auto"/>
        </w:rPr>
      </w:pPr>
      <w:r>
        <w:rPr>
          <w:rFonts w:ascii="Times New Roman" w:cs="Times New Roman" w:eastAsia="Times New Roman" w:hAnsi="Times New Roman"/>
          <w:sz w:val="14"/>
          <w:szCs w:val="14"/>
          <w:color w:val="auto"/>
        </w:rPr>
        <w:t>industry-specific, actionable insights for customers in a number of different areas with a primary focus on market intelligence and financial risk management. Our solutions include:</w:t>
      </w:r>
    </w:p>
    <w:p>
      <w:pPr>
        <w:spacing w:after="0" w:line="29" w:lineRule="exact"/>
        <w:rPr>
          <w:sz w:val="20"/>
          <w:szCs w:val="20"/>
          <w:color w:val="auto"/>
        </w:rPr>
      </w:pPr>
    </w:p>
    <w:p>
      <w:pPr>
        <w:ind w:left="1740" w:right="1319" w:hanging="140"/>
        <w:spacing w:after="0" w:line="268"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Market intelligence: </w:t>
      </w:r>
      <w:r>
        <w:rPr>
          <w:rFonts w:ascii="Times New Roman" w:cs="Times New Roman" w:eastAsia="Times New Roman" w:hAnsi="Times New Roman"/>
          <w:sz w:val="14"/>
          <w:szCs w:val="14"/>
          <w:color w:val="auto"/>
        </w:rPr>
        <w:t>We provide investment funds and corporations with real-time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intelligence solutions, such as our product iApp, which provides analysis and statistical results on the usage and trends of mobile apps in China.</w:t>
      </w:r>
    </w:p>
    <w:p>
      <w:pPr>
        <w:spacing w:after="0" w:line="39" w:lineRule="exact"/>
        <w:rPr>
          <w:rFonts w:ascii="Times New Roman" w:cs="Times New Roman" w:eastAsia="Times New Roman" w:hAnsi="Times New Roman"/>
          <w:sz w:val="14"/>
          <w:szCs w:val="14"/>
          <w:color w:val="auto"/>
        </w:rPr>
      </w:pPr>
    </w:p>
    <w:p>
      <w:pPr>
        <w:ind w:left="1740" w:right="1779" w:hanging="140"/>
        <w:spacing w:after="0" w:line="286"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risk management</w:t>
      </w:r>
      <w:r>
        <w:rPr>
          <w:rFonts w:ascii="Times New Roman" w:cs="Times New Roman" w:eastAsia="Times New Roman" w:hAnsi="Times New Roman"/>
          <w:sz w:val="14"/>
          <w:szCs w:val="14"/>
          <w:color w:val="auto"/>
        </w:rPr>
        <w:t>: We assist financial institutions, licensed lenders and credit card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in making informed lending and credit decisions.</w:t>
      </w:r>
    </w:p>
    <w:p>
      <w:pPr>
        <w:spacing w:after="0" w:line="7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refer to the developer services and vertical applications collectively as the “SAAS Businesses.”</w:t>
      </w:r>
    </w:p>
    <w:p>
      <w:pPr>
        <w:spacing w:after="0" w:line="123" w:lineRule="exact"/>
        <w:rPr>
          <w:sz w:val="20"/>
          <w:szCs w:val="20"/>
          <w:color w:val="auto"/>
        </w:rPr>
      </w:pPr>
    </w:p>
    <w:p>
      <w:pPr>
        <w:ind w:left="1320" w:right="1579" w:firstLine="281"/>
        <w:spacing w:after="0" w:line="244" w:lineRule="auto"/>
        <w:rPr>
          <w:sz w:val="20"/>
          <w:szCs w:val="20"/>
          <w:color w:val="auto"/>
        </w:rPr>
      </w:pPr>
      <w:r>
        <w:rPr>
          <w:rFonts w:ascii="Times New Roman" w:cs="Times New Roman" w:eastAsia="Times New Roman" w:hAnsi="Times New Roman"/>
          <w:sz w:val="14"/>
          <w:szCs w:val="14"/>
          <w:color w:val="auto"/>
        </w:rPr>
        <w:t>We operate and generate revenue from SAAS Businesses. We have built a robust technology infrastructure to support the usage of SAAS Businesses on a real-time basis. Our cloud servers are strategically located around the country to provide high-quality and cost-effective services across all telecom providers. This extensive and carefully designed server network allows us to provide customers with real-time access and usage of our Software-as-a-service, or SAAS, products with great stability, immense speed and high reliability.</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Our Holding Company Structure and Contractual Arrangements with the VIE</w:t>
      </w:r>
    </w:p>
    <w:p>
      <w:pPr>
        <w:spacing w:after="0" w:line="115" w:lineRule="exact"/>
        <w:rPr>
          <w:sz w:val="20"/>
          <w:szCs w:val="20"/>
          <w:color w:val="auto"/>
        </w:rPr>
      </w:pPr>
    </w:p>
    <w:p>
      <w:pPr>
        <w:ind w:left="1320" w:right="1299" w:firstLine="281"/>
        <w:spacing w:after="0" w:line="243" w:lineRule="auto"/>
        <w:rPr>
          <w:sz w:val="20"/>
          <w:szCs w:val="20"/>
          <w:color w:val="auto"/>
        </w:rPr>
      </w:pPr>
      <w:r>
        <w:rPr>
          <w:rFonts w:ascii="Times New Roman" w:cs="Times New Roman" w:eastAsia="Times New Roman" w:hAnsi="Times New Roman"/>
          <w:sz w:val="14"/>
          <w:szCs w:val="14"/>
          <w:color w:val="auto"/>
        </w:rPr>
        <w:t>Aurora Mobile Limited is not an operating company in China but a Cayman Islands holding company with no equity ownership in its consolidated variable interest entity, or the VIE. We conduct our operations in mainland China primarily through our subsidiaries incorporated in mainland China, or mainland China subsidiaries, and the VIE with which we have maintained contractual arrangements. Our value-added telecommunications services businesses in mainland China have been conducted through the VIE in order to comply with the laws and regulations of mainland China, which restrict and impose conditions on foreign direct investment in companies involved in the provision of such businesses. Accordingly, we operate these businesses in mainland China through the VIE, and such structure is used to provide investors with exposure to foreign investment in China-based companies where laws and regulations in mainland China prohibit or restrict direct foreign investment in certain operating companies, and rely on contractual arrangements among our mainland China subsidiaries, the VIE and their shareholders to control the business operations of the VIE. Investors in our ADSs are not purchasing equity interest in our operating entities in mainland China but instead are purchasing equity interest in a holding company incorporated in the Cayman Islands.</w:t>
      </w:r>
    </w:p>
    <w:p>
      <w:pPr>
        <w:spacing w:after="0" w:line="91" w:lineRule="exact"/>
        <w:rPr>
          <w:sz w:val="20"/>
          <w:szCs w:val="20"/>
          <w:color w:val="auto"/>
        </w:rPr>
      </w:pPr>
    </w:p>
    <w:p>
      <w:pPr>
        <w:ind w:left="1320" w:right="1319" w:firstLine="281"/>
        <w:spacing w:after="0" w:line="245" w:lineRule="auto"/>
        <w:rPr>
          <w:sz w:val="20"/>
          <w:szCs w:val="20"/>
          <w:color w:val="auto"/>
        </w:rPr>
      </w:pPr>
      <w:r>
        <w:rPr>
          <w:rFonts w:ascii="Times New Roman" w:cs="Times New Roman" w:eastAsia="Times New Roman" w:hAnsi="Times New Roman"/>
          <w:sz w:val="14"/>
          <w:szCs w:val="14"/>
          <w:color w:val="auto"/>
        </w:rPr>
        <w:t>We, through our WFOE, have entered into a series of contractual arrangements with the VIE and the nominee shareholders of the VIE. These contractual arrangements enable us to: (i) direct the activities of the VIE that most significantly impact its economic performance, (ii) receive the economic benefits of and absorb losses that could potentially be significant to the VIE in consideration for the services provided by our WFOE; and (iii) hold an exclusive option to purchase all or part of the equity interests in and assets of the VIE when and to the extent permitted by the laws of mainland China. Because of these contractual arrangements, we are considered the primary beneficiary of the VIE and hence consolidate its financial results with ours under U.S. GAAP for accounting purposes. In 2023, 2024 and 2025, we derived 95.0%, 90.7% and 85.2% of our external revenues from the VIE, respectively.</w:t>
      </w:r>
    </w:p>
    <w:p>
      <w:pPr>
        <w:spacing w:after="0" w:line="89" w:lineRule="exact"/>
        <w:rPr>
          <w:sz w:val="20"/>
          <w:szCs w:val="20"/>
          <w:color w:val="auto"/>
        </w:rPr>
      </w:pPr>
    </w:p>
    <w:p>
      <w:pPr>
        <w:ind w:left="1320" w:right="1339" w:firstLine="281"/>
        <w:spacing w:after="0" w:line="242" w:lineRule="auto"/>
        <w:rPr>
          <w:sz w:val="20"/>
          <w:szCs w:val="20"/>
          <w:color w:val="auto"/>
        </w:rPr>
      </w:pPr>
      <w:r>
        <w:rPr>
          <w:rFonts w:ascii="Times New Roman" w:cs="Times New Roman" w:eastAsia="Times New Roman" w:hAnsi="Times New Roman"/>
          <w:sz w:val="14"/>
          <w:szCs w:val="14"/>
          <w:color w:val="auto"/>
        </w:rPr>
        <w:t>These contractual agreements include exclusive option agreements, exclusive business cooperation agreement, financial support agreement, shareholder voting proxy agreement and equity interest pledge agreements. Pursuant to the exclusive option agreements, each shareholder of the VIE has irrevocably granted our WFOE an exclusive option to purchase all or part of his equity interests in the VIE, and the VIE has irrevocably granted our WFOE an exclusive option to purchase all or part of its assets. Pursuant to the exclusive business cooperation agreement, our WFOE has the exclusive right to provide the VIE comprehensive business support, technical services, consulting services and other services. Pursuant to the financial support agreement, we undertake to provide unlimited financial support to the VIE to the extent permissible under the applicable laws and regulations of mainland China, whether or not any operational loss is actually incurred by the VIE. Each of the shareholders of the VIE has also executed a shareholder voting proxy agreement to irrevocably authorize our company to act as his attorney-in-fact to exercise all of his rights as a shareholder of the VIE. Pursuant to the equity interest pledge agreements, the shareholders of the VIE have pledged 100% equity interests in the VIE to our WFOE to guarantee performance by the shareholders of their obligations under the exclusive option agreements, the shareholder voting proxy agreement and the financial support agreement, as well as the performance by the VIE of its obligations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39"/>
        <w:spacing w:after="0" w:line="283" w:lineRule="auto"/>
        <w:rPr>
          <w:sz w:val="20"/>
          <w:szCs w:val="20"/>
          <w:color w:val="auto"/>
        </w:rPr>
      </w:pPr>
      <w:r>
        <w:rPr>
          <w:rFonts w:ascii="Times New Roman" w:cs="Times New Roman" w:eastAsia="Times New Roman" w:hAnsi="Times New Roman"/>
          <w:sz w:val="14"/>
          <w:szCs w:val="14"/>
          <w:color w:val="auto"/>
        </w:rPr>
        <w:t>under the exclusive business cooperation agreement and the exclusive option agreements. For a summary of the material provisions of the contractual arrangements, see “Item 4. Information on the Company — C. Organizational Structure” of the 2025 Form 20-F.</w:t>
      </w:r>
    </w:p>
    <w:p>
      <w:pPr>
        <w:spacing w:after="0" w:line="72" w:lineRule="exact"/>
        <w:rPr>
          <w:sz w:val="20"/>
          <w:szCs w:val="20"/>
          <w:color w:val="auto"/>
        </w:rPr>
      </w:pPr>
    </w:p>
    <w:p>
      <w:pPr>
        <w:ind w:left="1320" w:right="1359" w:firstLine="281"/>
        <w:spacing w:after="0" w:line="283" w:lineRule="auto"/>
        <w:rPr>
          <w:sz w:val="20"/>
          <w:szCs w:val="20"/>
          <w:color w:val="auto"/>
        </w:rPr>
      </w:pPr>
      <w:r>
        <w:rPr>
          <w:rFonts w:ascii="Times New Roman" w:cs="Times New Roman" w:eastAsia="Times New Roman" w:hAnsi="Times New Roman"/>
          <w:sz w:val="14"/>
          <w:szCs w:val="14"/>
          <w:color w:val="auto"/>
        </w:rPr>
        <w:t>However, the contractual arrangements may not be as effective as direct ownership in directing the business operations of the VIE and we may incur substantial costs to enforce the terms of the arrangements.</w:t>
      </w:r>
    </w:p>
    <w:p>
      <w:pPr>
        <w:spacing w:after="0" w:line="73" w:lineRule="exact"/>
        <w:rPr>
          <w:sz w:val="20"/>
          <w:szCs w:val="20"/>
          <w:color w:val="auto"/>
        </w:rPr>
      </w:pPr>
    </w:p>
    <w:p>
      <w:pPr>
        <w:ind w:left="1320" w:right="1419" w:firstLine="281"/>
        <w:spacing w:after="0" w:line="266" w:lineRule="auto"/>
        <w:rPr>
          <w:sz w:val="20"/>
          <w:szCs w:val="20"/>
          <w:color w:val="auto"/>
        </w:rPr>
      </w:pPr>
      <w:r>
        <w:rPr>
          <w:rFonts w:ascii="Times New Roman" w:cs="Times New Roman" w:eastAsia="Times New Roman" w:hAnsi="Times New Roman"/>
          <w:sz w:val="14"/>
          <w:szCs w:val="14"/>
          <w:color w:val="auto"/>
        </w:rPr>
        <w:t>In addition, these agreements have not been tested in mainland China courts. See “Item 3. Key Information — D. Risk Factors — Risks Related to Our Corporate Structure — We rely on contractual arrangements with the VIE and its shareholders for substantially all of our business operations, which may not be as effective as direct ownership” and “Item 3. Key Information — D. Risk Factors — Risks Related to Our Corporate Structure — The shareholders of the VIE may have potential conflicts of interest with us, which may materially and adversely affect our business and financial condition” of the 2025 Form 20-F.</w:t>
      </w:r>
    </w:p>
    <w:p>
      <w:pPr>
        <w:spacing w:after="0" w:line="87" w:lineRule="exact"/>
        <w:rPr>
          <w:sz w:val="20"/>
          <w:szCs w:val="20"/>
          <w:color w:val="auto"/>
        </w:rPr>
      </w:pPr>
    </w:p>
    <w:p>
      <w:pPr>
        <w:ind w:left="1320" w:right="1319" w:firstLine="281"/>
        <w:spacing w:after="0" w:line="265" w:lineRule="auto"/>
        <w:rPr>
          <w:sz w:val="20"/>
          <w:szCs w:val="20"/>
          <w:color w:val="auto"/>
        </w:rPr>
      </w:pPr>
      <w:r>
        <w:rPr>
          <w:rFonts w:ascii="Times New Roman" w:cs="Times New Roman" w:eastAsia="Times New Roman" w:hAnsi="Times New Roman"/>
          <w:sz w:val="14"/>
          <w:szCs w:val="14"/>
          <w:color w:val="auto"/>
        </w:rPr>
        <w:t>Our corporate structure is subject to risks associated with our contractual arrangements with the VIE.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could be subject to severe penalties or be forced to relinquish our interests in those operations. Our holding company, our mainland China subsidiaries and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 — D. Risk Factors — Risks Related to Our Corporate Structure” of the 2025 Form 20-F.</w:t>
      </w:r>
    </w:p>
    <w:p>
      <w:pPr>
        <w:spacing w:after="0" w:line="86" w:lineRule="exact"/>
        <w:rPr>
          <w:sz w:val="20"/>
          <w:szCs w:val="20"/>
          <w:color w:val="auto"/>
        </w:rPr>
      </w:pPr>
    </w:p>
    <w:p>
      <w:pPr>
        <w:ind w:left="1320" w:right="1339" w:firstLine="281"/>
        <w:spacing w:after="0" w:line="265" w:lineRule="auto"/>
        <w:rPr>
          <w:sz w:val="20"/>
          <w:szCs w:val="20"/>
          <w:color w:val="auto"/>
        </w:rPr>
      </w:pPr>
      <w:r>
        <w:rPr>
          <w:rFonts w:ascii="Times New Roman" w:cs="Times New Roman" w:eastAsia="Times New Roman" w:hAnsi="Times New Roman"/>
          <w:sz w:val="14"/>
          <w:szCs w:val="14"/>
          <w:color w:val="auto"/>
        </w:rPr>
        <w:t>In addition, the VIE is owned principally by Mr. Weidong Luo, who holds 80% of the equity interest in the VIE. Mr. Luo also has 76.2% of the total voting power of Aurora. Accordingly, the enforceability of the various contracts described above by our company against the VIE is dependent upon Mr. Luo. If he fails to perform his obligations under the contractual arrangements, we could be unable to enforce the contractual arrangements that enable us to direct the business operations of the VIE. If this happens, we would need to deconsolidate the VIE. The majority of our assets, including the necessary licenses to conduct business in mainland China are held by the VIE. A significant part of our revenues is generated by the VIE. An event that results in the deconsolidation of the VIE would have a material effect on our operations and result in the value of the securities diminish substantially or even become worthless. For a detailed description of the risks associated with our corporate structure, see “Item 3. Key Information — D. Risk Factors — Risks Related to Our Corporate Structure” of the 2025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759" w:firstLine="281"/>
        <w:spacing w:after="0" w:line="283" w:lineRule="auto"/>
        <w:rPr>
          <w:sz w:val="20"/>
          <w:szCs w:val="20"/>
          <w:color w:val="auto"/>
        </w:rPr>
      </w:pPr>
      <w:r>
        <w:rPr>
          <w:rFonts w:ascii="Times New Roman" w:cs="Times New Roman" w:eastAsia="Times New Roman" w:hAnsi="Times New Roman"/>
          <w:sz w:val="14"/>
          <w:szCs w:val="14"/>
          <w:color w:val="auto"/>
        </w:rPr>
        <w:t>The following chart illustrates our corporate structure, including our significant subsidiaries and consolidated variable interest entity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color w:val="auto"/>
        </w:rPr>
        <w:t>Note:</w:t>
      </w:r>
    </w:p>
    <w:p>
      <w:pPr>
        <w:spacing w:after="0" w:line="63" w:lineRule="exact"/>
        <w:rPr>
          <w:sz w:val="20"/>
          <w:szCs w:val="20"/>
          <w:color w:val="auto"/>
        </w:rPr>
      </w:pPr>
    </w:p>
    <w:p>
      <w:pPr>
        <w:ind w:left="1600" w:right="1339" w:hanging="281"/>
        <w:spacing w:after="0" w:line="303" w:lineRule="auto"/>
        <w:tabs>
          <w:tab w:leader="none" w:pos="16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Weidong Luo, our founder, chairman of our board of directors, chief executive officer and a principal beneficial owner of the shares of our company, holds 80% equity interests in the VIE. Mr. Guangyan Chen, our general manager, holds 20% equity interests in the VIE.</w:t>
      </w:r>
    </w:p>
    <w:p>
      <w:pPr>
        <w:spacing w:after="0" w:line="2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Permissions Required from the PRC Authorities for Our Operations</w:t>
      </w:r>
    </w:p>
    <w:p>
      <w:pPr>
        <w:spacing w:after="0" w:line="125" w:lineRule="exact"/>
        <w:rPr>
          <w:sz w:val="20"/>
          <w:szCs w:val="20"/>
          <w:color w:val="auto"/>
        </w:rPr>
      </w:pPr>
    </w:p>
    <w:p>
      <w:pPr>
        <w:ind w:left="1320" w:right="1319" w:firstLine="281"/>
        <w:spacing w:after="0" w:line="243" w:lineRule="auto"/>
        <w:rPr>
          <w:sz w:val="20"/>
          <w:szCs w:val="20"/>
          <w:color w:val="auto"/>
        </w:rPr>
      </w:pPr>
      <w:r>
        <w:rPr>
          <w:rFonts w:ascii="Times New Roman" w:cs="Times New Roman" w:eastAsia="Times New Roman" w:hAnsi="Times New Roman"/>
          <w:sz w:val="14"/>
          <w:szCs w:val="14"/>
          <w:color w:val="auto"/>
        </w:rPr>
        <w:t>We conduct our business in mainland China through our subsidiaries and the VIE in mainland China. The operations of our subsidiaries and the VIE in mainland China are governed by laws and regulations of mainland China. The VIE is required to obtain and maintain applicable licenses and approvals from different regulatory authorities in order to provide their current services. Under the current regulatory scheme of mainland China, a number of regulatory agencies, including, but not limited to, the Ministry of Industry and Information Technology, and Cyberspace Administration of China, jointly regulate all major aspects of the internet industry, including the mobile internet business. The VIE also provides mobile app data analysis product to both domestic and foreign financial industry clients, and may be considered as engaging in foreign-related investigation business. Under the current regulatory scheme of mainland China, the VIE may be required to obtain a foreign-related investigation license. Operators must obtain government approvals and licenses for telecommunications business. The VIE obtained a foreign-related investigation license in April 2022. See “Item 4. Information on the Company — B. Business Overview — Regulations — Regulations on Telecommunications Services and Foreign Ownership Restrictions” and “Item 4. Information on the Company — B. Business Overview — Regulations — Regulations on Foreign-related Investigation” of the 2025 Form 20-F.</w:t>
      </w: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VIE may also be required to obtain the personal credit reporting business license. The PRC</w:t>
      </w:r>
    </w:p>
    <w:p>
      <w:pPr>
        <w:spacing w:after="0" w:line="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government has adopted several regulations governing personal credit reporting businesses. According to</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spacing w:after="0" w:line="241" w:lineRule="auto"/>
        <w:rPr>
          <w:sz w:val="20"/>
          <w:szCs w:val="20"/>
          <w:color w:val="auto"/>
        </w:rPr>
      </w:pPr>
      <w:r>
        <w:rPr>
          <w:rFonts w:ascii="Times New Roman" w:cs="Times New Roman" w:eastAsia="Times New Roman" w:hAnsi="Times New Roman"/>
          <w:sz w:val="14"/>
          <w:szCs w:val="14"/>
          <w:color w:val="auto"/>
        </w:rPr>
        <w:t>the Administrative Regulations on the Credit Reporting Industry, which was promulgated by the State Council and became effective in 2013, “personal credit reporting business” means the activities of collecting, organizing, storing and processing “information related to the credit standing” of individuals as well as providing the information to others, and a “credit reporting agency” refers to a duly established agency whose primary business is credit reporting. Under the Administrative Regulations on the Credit Reporting Industry and the Administrative Measures for Credit Reporting Agencies, the latter of which was promulgated by the People’s Bank of China and became effective in 2013, no entity may engage in personal credit reporting business without approval by the credit reporting industry regulatory department under the State Council. On September 27, 2021, the People’s Bank of China promulgated the Administrative Measures for Credit Information Services, which took effect on January 1, 2022. Pursuant to these measures, Credit Information Services, shall mean the collection, sorting, retention, and processing of credit information of enterprises and individuals, and the provision of the foregoing information to information users. Credit information, shall mean the basic individual information, lending information and other information used for identification and determination of creditworthiness status of enterprises and individuals, and collected pursuant to the law for the purpose of providing services for financial activities, as well as the analyzed and evaluated information formed based on the foregoing information. Persons engaging in personal credit information services shall obtain the personal credit information organization license issued by the People’s Bank of China pursuant to these measures. The VIE provides financial risk management solutions to financial institutions as well as emerging technology companies based on device-level mobile behavior data. Due to the lack of further interpretations of the current regulations governing personal credit reporting businesses, the exact definition and scope of “information related to credit standing” and “personal credit reporting business” under the current regulations are unclear. It is therefore uncertain whether the VIE would be deemed to engage in personal credit reporting business because of the VIE’s financial risk management solutions. The VIE’s subsidiary, Wuhan SendCloud, may also be required to obtain a value-added telecommunication business license for store-and-forward services. Wuhan SendCloud provides email sending services as part of its current operations and its email sending platform allows customers to configure and create sending domains and perform email sending functions, which may be deemed as providing store-and-forward services. Accordingly, Wuhan SendCloud may be required to obtain a class B23 value-added telecommunication business license for store-and-forward services. Wuhan SendCloud is in the process of applying for such licenses and has not yet obtained it as of the date of this prospectus. As of the date of this prospectus, we and the VIE have not been subject to any fines or other penalties under any laws or regulations of mainland China related to personal credit reporting business. The VIE’s subsidiary, Wuhan SendCloud, may also be required to obtain a value- added telecommunication business license for store-and-forward services. Wuhan SendCloud provides email sending services as part of its current operations and its email sending platform allows customers to configure and create sending domains and perform email sending functions, which may be deemed as providing store-and-forward services. Accordingly, Wuhan SendCloud may be required to obtain a class B23 value-added telecommunication business license for store-and-forward services. Wuhan SendCloud is in the process of preparing the application for such licenses and has not yet obtained it. See “Item 4. Information on the Company — B. Business Overview — Regulations — Regulations on Credit Reporting” of the 2025</w:t>
      </w:r>
    </w:p>
    <w:p>
      <w:pPr>
        <w:spacing w:after="0" w:line="332" w:lineRule="exact"/>
        <w:rPr>
          <w:sz w:val="20"/>
          <w:szCs w:val="20"/>
          <w:color w:val="auto"/>
        </w:rPr>
      </w:pPr>
    </w:p>
    <w:p>
      <w:pPr>
        <w:ind w:left="1320" w:right="1419"/>
        <w:spacing w:after="0" w:line="241" w:lineRule="auto"/>
        <w:rPr>
          <w:sz w:val="20"/>
          <w:szCs w:val="20"/>
          <w:color w:val="auto"/>
        </w:rPr>
      </w:pPr>
      <w:r>
        <w:rPr>
          <w:rFonts w:ascii="Times New Roman" w:cs="Times New Roman" w:eastAsia="Times New Roman" w:hAnsi="Times New Roman"/>
          <w:sz w:val="14"/>
          <w:szCs w:val="14"/>
          <w:color w:val="auto"/>
        </w:rPr>
        <w:t>Form 20-F. Given the uncertainties of interpretation and implementation of laws and regulations and the enforcement practice by government authorities, we and the VIE may be required to obtain additional licenses, permits, filings or approvals for the functions and services of our platform in the future. For more detailed information, see “Item 3. Key Information — D. Risk Factors — Risks Related to Doing Business in China — 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 of the 2025 Form 20-F.</w:t>
      </w:r>
    </w:p>
    <w:p>
      <w:pPr>
        <w:spacing w:after="0" w:line="92" w:lineRule="exact"/>
        <w:rPr>
          <w:sz w:val="20"/>
          <w:szCs w:val="20"/>
          <w:color w:val="auto"/>
        </w:rPr>
      </w:pPr>
    </w:p>
    <w:p>
      <w:pPr>
        <w:ind w:left="1320" w:right="1439" w:firstLine="281"/>
        <w:spacing w:after="0" w:line="247" w:lineRule="auto"/>
        <w:rPr>
          <w:sz w:val="20"/>
          <w:szCs w:val="20"/>
          <w:color w:val="auto"/>
        </w:rPr>
      </w:pPr>
      <w:r>
        <w:rPr>
          <w:rFonts w:ascii="Times New Roman" w:cs="Times New Roman" w:eastAsia="Times New Roman" w:hAnsi="Times New Roman"/>
          <w:sz w:val="14"/>
          <w:szCs w:val="14"/>
          <w:color w:val="auto"/>
        </w:rPr>
        <w:t>As of the date of this prospectus, and except as otherwise disclosed in this prospectus, our mainland China subsidiaries and the VIE have obtained the requisite licenses and permits from the PRC government authorities that are material for the business operations of our holding company and the VIE in mainland China, including, among others, three value-added telecommunication business licenses covering different scope of operations and a foreign-related investigation license.</w:t>
      </w:r>
    </w:p>
    <w:p>
      <w:pPr>
        <w:spacing w:after="0" w:line="87" w:lineRule="exact"/>
        <w:rPr>
          <w:sz w:val="20"/>
          <w:szCs w:val="20"/>
          <w:color w:val="auto"/>
        </w:rPr>
      </w:pPr>
    </w:p>
    <w:p>
      <w:pPr>
        <w:ind w:left="1320" w:right="1479" w:firstLine="281"/>
        <w:spacing w:after="0" w:line="268" w:lineRule="auto"/>
        <w:rPr>
          <w:sz w:val="20"/>
          <w:szCs w:val="20"/>
          <w:color w:val="auto"/>
        </w:rPr>
      </w:pPr>
      <w:r>
        <w:rPr>
          <w:rFonts w:ascii="Times New Roman" w:cs="Times New Roman" w:eastAsia="Times New Roman" w:hAnsi="Times New Roman"/>
          <w:sz w:val="14"/>
          <w:szCs w:val="14"/>
          <w:color w:val="auto"/>
        </w:rPr>
        <w:t>In addition, the PRC government has indicated an intent to exert more oversight and control over offerings that are conducted overseas and/or foreign investment in China-based issuers. On December 28,</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spacing w:after="0" w:line="241" w:lineRule="auto"/>
        <w:rPr>
          <w:sz w:val="20"/>
          <w:szCs w:val="20"/>
          <w:color w:val="auto"/>
        </w:rPr>
      </w:pPr>
      <w:r>
        <w:rPr>
          <w:rFonts w:ascii="Times New Roman" w:cs="Times New Roman" w:eastAsia="Times New Roman" w:hAnsi="Times New Roman"/>
          <w:sz w:val="14"/>
          <w:szCs w:val="14"/>
          <w:color w:val="auto"/>
        </w:rPr>
        <w:t>2021, the Cyberspace Administration of China, together with other authorities, jointly promulgated the Measures for Cybersecurity Reviews, which became effective on February 15, 2022. Pursuant to these measures, critical information infrastructure operators that procure internet products and services must be subject to the cybersecurity review if their activities affect or may affect national security. These measures further stipulate that network platform operators that hold personal information of over one million users shall apply with the Cybersecurity Review Office for a cybersecurity review before any public offering at a foreign stock exchange. These measures remain unclear on whether the requirements will be applicable to further equity or debt offerings by companies that have completed the initial public offering in the United States. In addition to the potential review before foreign listings, the Cyberspace Administration of China has the discretion to initiate cybersecurity review on data processing activities which are deemed to affect or may affect national security. Thus, we cannot preclude the possibility that we would be subject to such ex officio security reviews, and it is uncertain whether the fact of us being listed in the United States would increase such a possibility. On September 24, 2024, the State Council of China published the Regulations on Network Data Security Administration, which took effect on January 1, 2025. The Regulations on Network Data Security Administration provides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 Because the Regulations on Network Data Security Administration was newly adopted, uncertainty exists as to how it will be interpreted and implemented by the competent PRC governmental authorities and to what extent they will affect our operations. See “Item 3. Key Information — D. Risk Factors — Risks Related to Our Business and Industry — 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 of the 2025 Form 20-F.</w:t>
      </w:r>
    </w:p>
    <w:p>
      <w:pPr>
        <w:spacing w:after="0" w:line="266" w:lineRule="exact"/>
        <w:rPr>
          <w:sz w:val="20"/>
          <w:szCs w:val="20"/>
          <w:color w:val="auto"/>
        </w:rPr>
      </w:pPr>
    </w:p>
    <w:p>
      <w:pPr>
        <w:ind w:left="1320" w:right="1319" w:firstLine="281"/>
        <w:spacing w:after="0" w:line="242" w:lineRule="auto"/>
        <w:rPr>
          <w:sz w:val="20"/>
          <w:szCs w:val="20"/>
          <w:color w:val="auto"/>
        </w:rPr>
      </w:pPr>
      <w:r>
        <w:rPr>
          <w:rFonts w:ascii="Times New Roman" w:cs="Times New Roman" w:eastAsia="Times New Roman" w:hAnsi="Times New Roman"/>
          <w:sz w:val="14"/>
          <w:szCs w:val="14"/>
          <w:color w:val="auto"/>
        </w:rPr>
        <w:t>Under the Measures for Cybersecurity Reviews and other cybersecurity laws and regulations of mainland China, critical information infrastructure operators that intend to purchase internet products and services that affect or may affect national security must be subject to the cybersecurity review. As advised by our PRC legal counsel, the PRC governmental authorities may have wide discretion in the interpretation and enforcement of these laws, including the interpretation of the scope of “critical information infrastructure operators.” See “Item 4. Information on the Company — B. Business Overview — Regulations — Regulations on Information Security — Regulations on Personal Information Protection” of the 2025 Form 20-F. In addition, these measures also stipulate that any internet platform operator carrying out data processing activities that affect or may affect national security should also be subject to the cybersecurity review. In anticipation of the strengthened implementation of cybersecurity laws and regulations and the continued expansion of our and the VIE’s business, we and the VIE face potential risks if we and the VIE are deemed as a critical information infrastructure operator under the cybersecurity laws and regulations of mainland China. In such case, we and the VIE must fulfill certain obligations as required under the cybersecurity laws and regulations of mainland China, including, among others, storing personal information and important data collected and produced within the mainland China territory during our operations in mainland China, which we and the VIE have fulfilled in our and the VIE’s business, and we and the VIE may be subject to review when purchasing internet products and services. We and the VIE may be subject to review when conducting data processing activities, and may face challenges in addressing its requirements and make necessary changes to our internal policies and practices in data processing. As of the date of this prospectus, we and the VIE have not been involved in any investigations on cybersecurity review made by the Cyberspace Administration of China on such basis, and we and the VIE have not received any inquiry, notice, warning, or sanctions in such respect.</w:t>
      </w:r>
    </w:p>
    <w:p>
      <w:pPr>
        <w:spacing w:after="0" w:line="253" w:lineRule="exact"/>
        <w:rPr>
          <w:sz w:val="20"/>
          <w:szCs w:val="20"/>
          <w:color w:val="auto"/>
        </w:rPr>
      </w:pPr>
    </w:p>
    <w:p>
      <w:pPr>
        <w:ind w:left="1320" w:right="1379" w:firstLine="281"/>
        <w:spacing w:after="0" w:line="244" w:lineRule="auto"/>
        <w:rPr>
          <w:sz w:val="20"/>
          <w:szCs w:val="20"/>
          <w:color w:val="auto"/>
        </w:rPr>
      </w:pPr>
      <w:r>
        <w:rPr>
          <w:rFonts w:ascii="Times New Roman" w:cs="Times New Roman" w:eastAsia="Times New Roman" w:hAnsi="Times New Roman"/>
          <w:sz w:val="14"/>
          <w:szCs w:val="14"/>
          <w:color w:val="auto"/>
        </w:rPr>
        <w:t>On July 6, 2021, the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establishment of regulatory systems to deal with the risks and incidents faced by China-based overseas-listed companies. Official guidance and related implementation rules have not been issued yet and the interpretation of these opinions remains unclear at this stage. See “Item 3. Key Information — D. Risk Factors — Risks Related to Doing Business in China — The approval and/or other requirements of the CSRC or other PRC</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320" w:right="1339"/>
        <w:spacing w:after="0" w:line="259" w:lineRule="auto"/>
        <w:rPr>
          <w:sz w:val="20"/>
          <w:szCs w:val="20"/>
          <w:color w:val="auto"/>
        </w:rPr>
      </w:pPr>
      <w:r>
        <w:rPr>
          <w:rFonts w:ascii="Times New Roman" w:cs="Times New Roman" w:eastAsia="Times New Roman" w:hAnsi="Times New Roman"/>
          <w:sz w:val="14"/>
          <w:szCs w:val="14"/>
          <w:color w:val="auto"/>
        </w:rPr>
        <w:t>governmental authorities may be required in connection with an offering under rules, regulations or policies of mainland China, and, if required, we and the VIE cannot predict whether or how soon we will be able to obtain such approval” of the 2025 Form 20-F.</w:t>
      </w:r>
    </w:p>
    <w:p>
      <w:pPr>
        <w:spacing w:after="0" w:line="79" w:lineRule="exact"/>
        <w:rPr>
          <w:sz w:val="20"/>
          <w:szCs w:val="20"/>
          <w:color w:val="auto"/>
        </w:rPr>
      </w:pPr>
    </w:p>
    <w:p>
      <w:pPr>
        <w:ind w:left="1320" w:right="1319" w:firstLine="281"/>
        <w:spacing w:after="0" w:line="241" w:lineRule="auto"/>
        <w:rPr>
          <w:sz w:val="20"/>
          <w:szCs w:val="20"/>
          <w:color w:val="auto"/>
        </w:rPr>
      </w:pPr>
      <w:r>
        <w:rPr>
          <w:rFonts w:ascii="Times New Roman" w:cs="Times New Roman" w:eastAsia="Times New Roman" w:hAnsi="Times New Roman"/>
          <w:sz w:val="14"/>
          <w:szCs w:val="14"/>
          <w:color w:val="auto"/>
        </w:rPr>
        <w:t>On February 17, 2023, the CSRC promulgated the Trial Administrative Measures of the Overseas Securities Offering and Listing by Domestic Companies, which took effective on March 31, 2023. According to these measures, among other requirements, (1) domestic companies that seek to offer or list securities overseas, both directly and indirectly, should fulfill the filing procedures with the CSRC; if a domestic company fails to complete the filing procedure, such domestic company may be subject to administrative penalties;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Further, at the press conference held for these measures on February 17, 2023, officials from the CSRC clarified that the PRC domestic companies that have already been listed overseas on or before the effective date of these measures (i.e., March 31, 2021) shall be deemed as existing issuers. Existing issuers are not required to complete the filing procedures immediately but shall carry out filing procedures as required if they subsequently seek to conduct an offering in an overseas market or are otherwise involved in circumstances that require filing with the CSRC. On May 14, 2025, we entered into an at market issuance sales agreement with China Renaissance Securities (Hong Kong) Limited with respect to an at-the-market sales program under which we may offer and sell, from time to time at our sole discretion, up to an aggregate of US$8,000,000 of ADSs through China Renaissance Securities (Hong Kong) Limited as our sales agent (the “ATM Offering Program”). Regarding the ATM Offering Program, we completed the first share issuance under the ATM Offering Program on July 14, 2025 and we have submitted a filing application to the China Securities Regulatory Commission, or the CSRC on July 16, 2025. In addition, we have submitted a filing application to the CSRC relating to the issuance of the Warrant on February 12, 2026. The officials from the CSRC have also confirmed that for the PRC domestic companies that seek to list overseas with a VIE structure, the CSRC will solicit opinions from regulatory authorities and complete the filing of the overseas listing of companies with VIE structure which meet the compliance requirements.</w:t>
      </w:r>
    </w:p>
    <w:p>
      <w:pPr>
        <w:spacing w:after="0" w:line="264" w:lineRule="exact"/>
        <w:rPr>
          <w:sz w:val="20"/>
          <w:szCs w:val="20"/>
          <w:color w:val="auto"/>
        </w:rPr>
      </w:pPr>
    </w:p>
    <w:p>
      <w:pPr>
        <w:ind w:left="1320" w:right="1319" w:firstLine="281"/>
        <w:spacing w:after="0" w:line="241" w:lineRule="auto"/>
        <w:rPr>
          <w:sz w:val="20"/>
          <w:szCs w:val="20"/>
          <w:color w:val="auto"/>
        </w:rPr>
      </w:pPr>
      <w:r>
        <w:rPr>
          <w:rFonts w:ascii="Times New Roman" w:cs="Times New Roman" w:eastAsia="Times New Roman" w:hAnsi="Times New Roman"/>
          <w:sz w:val="14"/>
          <w:szCs w:val="14"/>
          <w:color w:val="auto"/>
        </w:rPr>
        <w:t>On February 24, 2023, the CSRC, Ministry of Finance of the PRC, National Administration of State Secrets Protection and National Archives Administration of China promulgated the Provisions on Strengthening Confidentiality and Archives Administration of Overseas Securities Offering and Listing by Domestic Companies, which took effect on March 31, 2023. Pursuant to these provisions, domestic companies that seek for overseas offering and listing shall strictly abide by applicable laws and regulations of the PRC and these provisions, enhance legal awareness of keeping state secrets and strengthening archives administration, institute a sound confidentiality and archives administration system, and take necessary measures to fulfill confidentiality and archives administration obligations. Such domestic companies shall not leak any state secret and working secret of government agencies, or harm national security and public interest. Furthermore, a domestic company that plans to, either directly or through its overseas listed entity, publicly disclose or provide to individuals or entities including securities companies, securities service providers and overseas regulators, any document and materials that contain state secrets or working secrets of government agencies, shall first obtain approval from competent authorities according to law, and file with the secrecy administrative department at the same level. Moreover, a domestic company that plans to, either directly or through its overseas listed entity, publicly disclose or provide to individuals and entities including securities companies, securities service providers and overseas regulators, any other documents and materials that, if leaked, will be detrimental to national security or public interest, shall strictly fulfill procedures stipulated by applicable national regulations. These provisions also stipulate that a domestic company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firstLine="281"/>
        <w:spacing w:after="0" w:line="248" w:lineRule="auto"/>
        <w:rPr>
          <w:sz w:val="20"/>
          <w:szCs w:val="20"/>
          <w:color w:val="auto"/>
        </w:rPr>
      </w:pPr>
      <w:r>
        <w:rPr>
          <w:rFonts w:ascii="Times New Roman" w:cs="Times New Roman" w:eastAsia="Times New Roman" w:hAnsi="Times New Roman"/>
          <w:sz w:val="14"/>
          <w:szCs w:val="14"/>
          <w:color w:val="auto"/>
        </w:rPr>
        <w:t>Except the filing procedures with the CSRC as disclosed in this prospectus, we and the VIE (i) are not required to obtain permissions from the CSRC, and (ii) have not been asked to obtain or denied such and other permissions by any PRC government authority, in connection with this offering under prevailing PRC laws, regulations and rules as of the date of this prospectus. As of the date of this prospectus, we and the VIE have not received any inquiry, notice, warning, or sanctions regarding offshore offering from the CSRC or any other PRC governmental authorities.</w:t>
      </w:r>
    </w:p>
    <w:p>
      <w:pPr>
        <w:spacing w:after="0" w:line="86" w:lineRule="exact"/>
        <w:rPr>
          <w:sz w:val="20"/>
          <w:szCs w:val="20"/>
          <w:color w:val="auto"/>
        </w:rPr>
      </w:pPr>
    </w:p>
    <w:p>
      <w:pPr>
        <w:ind w:left="1320" w:right="1319" w:firstLine="281"/>
        <w:spacing w:after="0" w:line="243" w:lineRule="auto"/>
        <w:rPr>
          <w:sz w:val="20"/>
          <w:szCs w:val="20"/>
          <w:color w:val="auto"/>
        </w:rPr>
      </w:pPr>
      <w:r>
        <w:rPr>
          <w:rFonts w:ascii="Times New Roman" w:cs="Times New Roman" w:eastAsia="Times New Roman" w:hAnsi="Times New Roman"/>
          <w:sz w:val="14"/>
          <w:szCs w:val="14"/>
          <w:color w:val="auto"/>
        </w:rPr>
        <w:t>We and the VIE are subject to the risks of uncertainty of any future actions of the PRC government in this regard including the risk that we inadvertently conclude that the permission or approvals discussed here are not required, that applicable laws, regulations or interpretations change such that we and the VIE are required to obtain approvals in the future. If we or the VIE do not receive or maintain the requisite permissions or approvals, or if we inadvertently conclude that such permissions or approvals are not required, or applicable laws, regulations, or interpretations change such that we and the VIE are required to obtain permission or approval in the future, we and the VIE may be subject to an investigation by competent regulators, fines or penalties, or an order prohibiting us from conducting an offering, and these risks could result in a material adverse change in our and the VIE’s operations and the value of our ADSs, significantly limit or completely hinder our ability to offer or continue to offer securities to investors, or cause such securities to significantly decline in value or become worthless.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Holding Foreign Companies Accountable Act</w:t>
      </w:r>
    </w:p>
    <w:p>
      <w:pPr>
        <w:spacing w:after="0" w:line="115" w:lineRule="exact"/>
        <w:rPr>
          <w:sz w:val="20"/>
          <w:szCs w:val="20"/>
          <w:color w:val="auto"/>
        </w:rPr>
      </w:pPr>
    </w:p>
    <w:p>
      <w:pPr>
        <w:ind w:left="1320" w:right="1339" w:firstLine="281"/>
        <w:spacing w:after="0" w:line="243" w:lineRule="auto"/>
        <w:rPr>
          <w:sz w:val="20"/>
          <w:szCs w:val="20"/>
          <w:color w:val="auto"/>
        </w:rPr>
      </w:pPr>
      <w:r>
        <w:rPr>
          <w:rFonts w:ascii="Times New Roman" w:cs="Times New Roman" w:eastAsia="Times New Roman" w:hAnsi="Times New Roman"/>
          <w:sz w:val="14"/>
          <w:szCs w:val="14"/>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 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April 2022, the SEC conclusively listed us as a Commission-Identified Issuer under the HFCAA following</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filing of our annual report on Form 20-F for the fiscal year ended December 31, 2021. On December 15,</w:t>
      </w:r>
    </w:p>
    <w:p>
      <w:pPr>
        <w:ind w:left="1320"/>
        <w:spacing w:after="0" w:line="235" w:lineRule="auto"/>
        <w:rPr>
          <w:sz w:val="20"/>
          <w:szCs w:val="20"/>
          <w:color w:val="auto"/>
        </w:rPr>
      </w:pPr>
      <w:r>
        <w:rPr>
          <w:rFonts w:ascii="Times New Roman" w:cs="Times New Roman" w:eastAsia="Times New Roman" w:hAnsi="Times New Roman"/>
          <w:sz w:val="14"/>
          <w:szCs w:val="14"/>
          <w:color w:val="auto"/>
        </w:rPr>
        <w:t>2022, the PCAOB issued a report that vacated its December 16, 2021 determination and removed mainland</w:t>
      </w:r>
    </w:p>
    <w:p>
      <w:pPr>
        <w:ind w:left="1320"/>
        <w:spacing w:after="0"/>
        <w:rPr>
          <w:sz w:val="20"/>
          <w:szCs w:val="20"/>
          <w:color w:val="auto"/>
        </w:rPr>
      </w:pPr>
      <w:r>
        <w:rPr>
          <w:rFonts w:ascii="Times New Roman" w:cs="Times New Roman" w:eastAsia="Times New Roman" w:hAnsi="Times New Roman"/>
          <w:sz w:val="14"/>
          <w:szCs w:val="14"/>
          <w:color w:val="auto"/>
        </w:rPr>
        <w:t>China and Hong Kong from the list of jurisdictions where it is unable to inspect or investigate completely</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registered public accounting firms. For this reason, we were not identified as a Commission-Identified</w:t>
      </w:r>
    </w:p>
    <w:p>
      <w:pPr>
        <w:ind w:left="1320"/>
        <w:spacing w:after="0" w:line="235" w:lineRule="auto"/>
        <w:rPr>
          <w:sz w:val="20"/>
          <w:szCs w:val="20"/>
          <w:color w:val="auto"/>
        </w:rPr>
      </w:pPr>
      <w:r>
        <w:rPr>
          <w:rFonts w:ascii="Times New Roman" w:cs="Times New Roman" w:eastAsia="Times New Roman" w:hAnsi="Times New Roman"/>
          <w:sz w:val="14"/>
          <w:szCs w:val="14"/>
          <w:color w:val="auto"/>
        </w:rPr>
        <w:t>Issuer under the HFCAA after we filed the 2025 Form 20-F. Each year, the PCAOB will determine whether</w:t>
      </w:r>
    </w:p>
    <w:p>
      <w:pPr>
        <w:ind w:left="1320"/>
        <w:spacing w:after="0"/>
        <w:rPr>
          <w:sz w:val="20"/>
          <w:szCs w:val="20"/>
          <w:color w:val="auto"/>
        </w:rPr>
      </w:pPr>
      <w:r>
        <w:rPr>
          <w:rFonts w:ascii="Times New Roman" w:cs="Times New Roman" w:eastAsia="Times New Roman" w:hAnsi="Times New Roman"/>
          <w:sz w:val="14"/>
          <w:szCs w:val="14"/>
          <w:color w:val="auto"/>
        </w:rPr>
        <w:t>it can inspect and investigate completely audit firms in mainland China and Hong Kong, among other</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jurisdictions. If the PCAOB determines in the future that it no longer has full access to inspect and</w:t>
      </w:r>
    </w:p>
    <w:p>
      <w:pPr>
        <w:ind w:left="1320"/>
        <w:spacing w:after="0" w:line="235" w:lineRule="auto"/>
        <w:rPr>
          <w:sz w:val="20"/>
          <w:szCs w:val="20"/>
          <w:color w:val="auto"/>
        </w:rPr>
      </w:pPr>
      <w:r>
        <w:rPr>
          <w:rFonts w:ascii="Times New Roman" w:cs="Times New Roman" w:eastAsia="Times New Roman" w:hAnsi="Times New Roman"/>
          <w:sz w:val="14"/>
          <w:szCs w:val="14"/>
          <w:color w:val="auto"/>
        </w:rPr>
        <w:t>investigate completely accounting firms in mainland China and Hong Kong and we use an accounting firm</w:t>
      </w:r>
    </w:p>
    <w:p>
      <w:pPr>
        <w:ind w:left="1320"/>
        <w:spacing w:after="0"/>
        <w:rPr>
          <w:sz w:val="20"/>
          <w:szCs w:val="20"/>
          <w:color w:val="auto"/>
        </w:rPr>
      </w:pPr>
      <w:r>
        <w:rPr>
          <w:rFonts w:ascii="Times New Roman" w:cs="Times New Roman" w:eastAsia="Times New Roman" w:hAnsi="Times New Roman"/>
          <w:sz w:val="14"/>
          <w:szCs w:val="14"/>
          <w:color w:val="auto"/>
        </w:rPr>
        <w:t>headquartered in one of these jurisdictions to issue an audit report on our financial statements filed with the</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SEC, we would be identified as a Commission-Identified Issuer following the filing of the annual report on</w:t>
      </w:r>
    </w:p>
    <w:p>
      <w:pPr>
        <w:ind w:left="1320"/>
        <w:spacing w:after="0" w:line="235" w:lineRule="auto"/>
        <w:rPr>
          <w:sz w:val="20"/>
          <w:szCs w:val="20"/>
          <w:color w:val="auto"/>
        </w:rPr>
      </w:pPr>
      <w:r>
        <w:rPr>
          <w:rFonts w:ascii="Times New Roman" w:cs="Times New Roman" w:eastAsia="Times New Roman" w:hAnsi="Times New Roman"/>
          <w:sz w:val="14"/>
          <w:szCs w:val="14"/>
          <w:color w:val="auto"/>
        </w:rPr>
        <w:t>Form 20-F for the relevant fiscal year. There can be no assurance that we would not be identified as a</w:t>
      </w:r>
    </w:p>
    <w:p>
      <w:pPr>
        <w:ind w:left="1320"/>
        <w:spacing w:after="0"/>
        <w:rPr>
          <w:sz w:val="20"/>
          <w:szCs w:val="20"/>
          <w:color w:val="auto"/>
        </w:rPr>
      </w:pPr>
      <w:r>
        <w:rPr>
          <w:rFonts w:ascii="Times New Roman" w:cs="Times New Roman" w:eastAsia="Times New Roman" w:hAnsi="Times New Roman"/>
          <w:sz w:val="14"/>
          <w:szCs w:val="14"/>
          <w:color w:val="auto"/>
        </w:rPr>
        <w:t>Commission-Identified Issuer for any future fiscal year, and if we were so identified for two</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consecutive years, we would become subject to the prohibition on trading under the HFCAA. See “Item 3.</w:t>
      </w:r>
    </w:p>
    <w:p>
      <w:pPr>
        <w:ind w:left="1320"/>
        <w:spacing w:after="0" w:line="235" w:lineRule="auto"/>
        <w:rPr>
          <w:sz w:val="20"/>
          <w:szCs w:val="20"/>
          <w:color w:val="auto"/>
        </w:rPr>
      </w:pPr>
      <w:r>
        <w:rPr>
          <w:rFonts w:ascii="Times New Roman" w:cs="Times New Roman" w:eastAsia="Times New Roman" w:hAnsi="Times New Roman"/>
          <w:sz w:val="14"/>
          <w:szCs w:val="14"/>
          <w:color w:val="auto"/>
        </w:rPr>
        <w:t>Key Information — D. Risk Factors — Risks Related to Doing Business in China — The PCAOB had</w:t>
      </w:r>
    </w:p>
    <w:p>
      <w:pPr>
        <w:ind w:left="1320"/>
        <w:spacing w:after="0"/>
        <w:rPr>
          <w:sz w:val="20"/>
          <w:szCs w:val="20"/>
          <w:color w:val="auto"/>
        </w:rPr>
      </w:pPr>
      <w:r>
        <w:rPr>
          <w:rFonts w:ascii="Times New Roman" w:cs="Times New Roman" w:eastAsia="Times New Roman" w:hAnsi="Times New Roman"/>
          <w:sz w:val="14"/>
          <w:szCs w:val="14"/>
          <w:color w:val="auto"/>
        </w:rPr>
        <w:t>historically been unable to inspect our auditor in relation to their audit work performed for our financial</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statements and the inability of the PCAOB to conduct inspections of our auditor in the past has deprived our</w:t>
      </w:r>
    </w:p>
    <w:p>
      <w:pPr>
        <w:ind w:left="1320"/>
        <w:spacing w:after="0" w:line="235" w:lineRule="auto"/>
        <w:rPr>
          <w:sz w:val="20"/>
          <w:szCs w:val="20"/>
          <w:color w:val="auto"/>
        </w:rPr>
      </w:pPr>
      <w:r>
        <w:rPr>
          <w:rFonts w:ascii="Times New Roman" w:cs="Times New Roman" w:eastAsia="Times New Roman" w:hAnsi="Times New Roman"/>
          <w:sz w:val="14"/>
          <w:szCs w:val="14"/>
          <w:color w:val="auto"/>
        </w:rPr>
        <w:t>investors with the benefits of such inspections” and “Item 3. Key Information — D. Risk Factors — Risks</w:t>
      </w:r>
    </w:p>
    <w:p>
      <w:pPr>
        <w:ind w:left="1320"/>
        <w:spacing w:after="0"/>
        <w:rPr>
          <w:sz w:val="20"/>
          <w:szCs w:val="20"/>
          <w:color w:val="auto"/>
        </w:rPr>
      </w:pPr>
      <w:r>
        <w:rPr>
          <w:rFonts w:ascii="Times New Roman" w:cs="Times New Roman" w:eastAsia="Times New Roman" w:hAnsi="Times New Roman"/>
          <w:sz w:val="14"/>
          <w:szCs w:val="14"/>
          <w:color w:val="auto"/>
        </w:rPr>
        <w:t>Related to Doing Business in China — Our ADSs may be prohibited from trading in the United States under</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HFCAA in the future if the PCAOB is unable to inspect or investigate completely auditors located in</w:t>
      </w:r>
    </w:p>
    <w:p>
      <w:pPr>
        <w:ind w:left="1320"/>
        <w:spacing w:after="0" w:line="235" w:lineRule="auto"/>
        <w:rPr>
          <w:sz w:val="20"/>
          <w:szCs w:val="20"/>
          <w:color w:val="auto"/>
        </w:rPr>
      </w:pPr>
      <w:r>
        <w:rPr>
          <w:rFonts w:ascii="Times New Roman" w:cs="Times New Roman" w:eastAsia="Times New Roman" w:hAnsi="Times New Roman"/>
          <w:sz w:val="14"/>
          <w:szCs w:val="14"/>
          <w:color w:val="auto"/>
        </w:rPr>
        <w:t>China. The delisting of trading of the ADSs, or the threat of their being delisted, may materially and</w:t>
      </w:r>
    </w:p>
    <w:p>
      <w:pPr>
        <w:ind w:left="1320"/>
        <w:spacing w:after="0"/>
        <w:rPr>
          <w:sz w:val="20"/>
          <w:szCs w:val="20"/>
          <w:color w:val="auto"/>
        </w:rPr>
      </w:pPr>
      <w:r>
        <w:rPr>
          <w:rFonts w:ascii="Times New Roman" w:cs="Times New Roman" w:eastAsia="Times New Roman" w:hAnsi="Times New Roman"/>
          <w:sz w:val="14"/>
          <w:szCs w:val="14"/>
          <w:color w:val="auto"/>
        </w:rPr>
        <w:t>adversely affect the value of your investment” of the 2025 Form 20-F.</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Cash Flows through Our Organization</w:t>
      </w:r>
    </w:p>
    <w:p>
      <w:pPr>
        <w:spacing w:after="0" w:line="94" w:lineRule="exact"/>
        <w:rPr>
          <w:sz w:val="20"/>
          <w:szCs w:val="20"/>
          <w:color w:val="auto"/>
        </w:rPr>
      </w:pPr>
    </w:p>
    <w:p>
      <w:pPr>
        <w:ind w:left="1320" w:right="1659" w:firstLine="281"/>
        <w:spacing w:after="0" w:line="268" w:lineRule="auto"/>
        <w:rPr>
          <w:sz w:val="20"/>
          <w:szCs w:val="20"/>
          <w:color w:val="auto"/>
        </w:rPr>
      </w:pPr>
      <w:r>
        <w:rPr>
          <w:rFonts w:ascii="Times New Roman" w:cs="Times New Roman" w:eastAsia="Times New Roman" w:hAnsi="Times New Roman"/>
          <w:sz w:val="14"/>
          <w:szCs w:val="14"/>
          <w:color w:val="auto"/>
        </w:rPr>
        <w:t>Aurora is a holding company with no material operations of its own. We conduct our operations primarily through our WFOE and the VIE. As a result, Aurora’s ability to pay dividends depends upon</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spacing w:after="0" w:line="243" w:lineRule="auto"/>
        <w:rPr>
          <w:sz w:val="20"/>
          <w:szCs w:val="20"/>
          <w:color w:val="auto"/>
        </w:rPr>
      </w:pPr>
      <w:r>
        <w:rPr>
          <w:rFonts w:ascii="Times New Roman" w:cs="Times New Roman" w:eastAsia="Times New Roman" w:hAnsi="Times New Roman"/>
          <w:sz w:val="14"/>
          <w:szCs w:val="14"/>
          <w:color w:val="auto"/>
        </w:rPr>
        <w:t>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its after-tax profits based on mainland China’s accounting standards to a discretionary surplus fund at its discretion. The statutory reserve funds and the discretionary funds are not distributable as cash dividends. For more details, see “Item 5. Operating and Financial Review and Prospects — B. Liquidity and Capital Resources — Holding Company Structure” of the 2025 Form 20-F.</w:t>
      </w:r>
    </w:p>
    <w:p>
      <w:pPr>
        <w:spacing w:after="0" w:line="233" w:lineRule="exact"/>
        <w:rPr>
          <w:sz w:val="20"/>
          <w:szCs w:val="20"/>
          <w:color w:val="auto"/>
        </w:rPr>
      </w:pPr>
    </w:p>
    <w:p>
      <w:pPr>
        <w:ind w:left="1320" w:right="1339" w:firstLine="281"/>
        <w:spacing w:after="0" w:line="242" w:lineRule="auto"/>
        <w:rPr>
          <w:sz w:val="20"/>
          <w:szCs w:val="20"/>
          <w:color w:val="auto"/>
        </w:rPr>
      </w:pPr>
      <w:r>
        <w:rPr>
          <w:rFonts w:ascii="Times New Roman" w:cs="Times New Roman" w:eastAsia="Times New Roman" w:hAnsi="Times New Roman"/>
          <w:sz w:val="14"/>
          <w:szCs w:val="14"/>
          <w:color w:val="auto"/>
        </w:rPr>
        <w:t>Under laws and regulations of mainland China, our mainland China subsidiaries and the VIE are subject to certain restrictions with respect to paying dividends or otherwise transferring any of their net assets to us. Remittance of dividends by a wholly foreign-owned company out of mainland China is subject to examination by the banks designated by the State Administration of Foreign Exchange, or the SAFE. Our WFOE has not paid dividends and will not be able to pay dividends until it generates accumulated profits and meets the requirements for statutory reserve funds. As of the date of this prospectus, no subsidiaries paid dividends or made other distributions to the holding company, and no dividends or distributions were paid or made to our investors. The net liabilities of the VIE, in which we have no legal ownership, amounted to RMB398 million, RMB159 million and RMB150 million (US$21 million) as of December 31, 2023, 2024 and 2025, respectively. For restrictions and limitations on our ability to distribute earnings from our businesses, including subsidiaries and the VIE, to Aurora and investors as well as the ability to settle amounts owed under the VIE agreements, see “Item 3. Key Information — D. Risk Factors — Risks Related to Doing Business in China — The regulation of mainland China on loans to and direct investment in mainland China entities by offshore holding companies and governmental control of currency conversion may delay or prevent us from using the proceeds of our initial public offering to make loans or additional capital contributions to our mainland China subsidiary, which could materially and adversely affect our liquidity and our ability to fund and expand our business,” “— We may rely on dividends and other distributions on equity paid by our mainland China subsidiary to fund any cash and financing requirements we may have, and any limitation on the ability of our mainland China subsidiary to make payments to us could have a material and adverse effect on our ability to conduct our business” and “— Governmental control of currency conversion may limit our ability to utilize our cash balance effectively and affect the value of your investment” of the 2025 Form 20-F.</w:t>
      </w:r>
    </w:p>
    <w:p>
      <w:pPr>
        <w:spacing w:after="0" w:line="221" w:lineRule="exact"/>
        <w:rPr>
          <w:sz w:val="20"/>
          <w:szCs w:val="20"/>
          <w:color w:val="auto"/>
        </w:rPr>
      </w:pPr>
    </w:p>
    <w:p>
      <w:pPr>
        <w:ind w:left="1320" w:right="1339" w:firstLine="281"/>
        <w:spacing w:after="0" w:line="251" w:lineRule="auto"/>
        <w:rPr>
          <w:sz w:val="20"/>
          <w:szCs w:val="20"/>
          <w:color w:val="auto"/>
        </w:rPr>
      </w:pPr>
      <w:r>
        <w:rPr>
          <w:rFonts w:ascii="Times New Roman" w:cs="Times New Roman" w:eastAsia="Times New Roman" w:hAnsi="Times New Roman"/>
          <w:sz w:val="14"/>
          <w:szCs w:val="14"/>
          <w:color w:val="auto"/>
        </w:rPr>
        <w:t>Our subsidiaries and the VIE conduct business transactions that include provision of services and intercompany loans, and collection of employee’s individual income tax from the exercise of share options, subject to satisfaction of applicable government registration and approval requirements. The cash flows that occurred between our subsidiaries and the VIE are summarized below:</w:t>
      </w:r>
    </w:p>
    <w:p>
      <w:pPr>
        <w:spacing w:after="0" w:line="79"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w w:val="96"/>
              </w:rPr>
              <w:t>For the year ended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6"/>
        </w:trPr>
        <w:tc>
          <w:tcPr>
            <w:tcW w:w="4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2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8"/>
        </w:trPr>
        <w:tc>
          <w:tcPr>
            <w:tcW w:w="4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2023  ​ ​</w:t>
            </w: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2024  ​ ​  2025</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8"/>
        </w:trPr>
        <w:tc>
          <w:tcPr>
            <w:tcW w:w="4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gridSpan w:val="2"/>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w w:val="98"/>
              </w:rPr>
              <w:t>(RMB in thousands)</w:t>
            </w:r>
          </w:p>
        </w:tc>
        <w:tc>
          <w:tcPr>
            <w:tcW w:w="220" w:type="dxa"/>
            <w:vAlign w:val="bottom"/>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4"/>
        </w:trPr>
        <w:tc>
          <w:tcPr>
            <w:tcW w:w="4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Repayment of loans and interests by the VIE to our WFOE, JPush Information</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Consulting (Shenzhen) Co., Ltd.</w:t>
            </w:r>
          </w:p>
        </w:tc>
        <w:tc>
          <w:tcPr>
            <w:tcW w:w="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65,532​​ ​</w:t>
            </w: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5"/>
                <w:szCs w:val="15"/>
                <w:color w:val="auto"/>
              </w:rPr>
            </w:pPr>
          </w:p>
        </w:tc>
      </w:tr>
      <w:tr>
        <w:trPr>
          <w:trHeight w:val="154"/>
        </w:trPr>
        <w:tc>
          <w:tcPr>
            <w:tcW w:w="46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Employee’s individual income tax from the exercise of share options from our</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WFOE, JPush Information Consulting (Shenzhen) Co., Ltd. to the VIE</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16​​ ​</w:t>
            </w:r>
            <w:r>
              <w:rPr>
                <w:rFonts w:ascii="Times New Roman" w:cs="Times New Roman" w:eastAsia="Times New Roman" w:hAnsi="Times New Roman"/>
                <w:sz w:val="14"/>
                <w:szCs w:val="14"/>
                <w:b w:val="1"/>
                <w:bCs w:val="1"/>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 ​</w:t>
            </w: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60​</w:t>
            </w:r>
          </w:p>
        </w:tc>
      </w:tr>
      <w:tr>
        <w:trPr>
          <w:trHeight w:val="154"/>
        </w:trPr>
        <w:tc>
          <w:tcPr>
            <w:tcW w:w="4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Intercompany receivables from VIE and VIE’s subsidiaries to WFOE and other</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44,871​​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53,790​</w:t>
            </w:r>
          </w:p>
        </w:tc>
        <w:tc>
          <w:tcPr>
            <w:tcW w:w="40" w:type="dxa"/>
            <w:vAlign w:val="bottom"/>
          </w:tcPr>
          <w:p>
            <w:pPr>
              <w:spacing w:after="0"/>
              <w:rPr>
                <w:sz w:val="15"/>
                <w:szCs w:val="15"/>
                <w:color w:val="auto"/>
              </w:rPr>
            </w:pPr>
          </w:p>
        </w:tc>
      </w:tr>
      <w:tr>
        <w:trPr>
          <w:trHeight w:val="154"/>
        </w:trPr>
        <w:tc>
          <w:tcPr>
            <w:tcW w:w="46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Intercompany receivables from WFOE and other subsidiaries to VIE and VIE’s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31,400​​ ​</w:t>
            </w:r>
            <w:r>
              <w:rPr>
                <w:rFonts w:ascii="Times New Roman" w:cs="Times New Roman" w:eastAsia="Times New Roman" w:hAnsi="Times New Roman"/>
                <w:sz w:val="14"/>
                <w:szCs w:val="14"/>
                <w:b w:val="1"/>
                <w:bCs w:val="1"/>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r>
    </w:tbl>
    <w:p>
      <w:pPr>
        <w:spacing w:after="0" w:line="91" w:lineRule="exact"/>
        <w:rPr>
          <w:sz w:val="20"/>
          <w:szCs w:val="20"/>
          <w:color w:val="auto"/>
        </w:rPr>
      </w:pPr>
    </w:p>
    <w:p>
      <w:pPr>
        <w:ind w:left="1320" w:right="1379" w:firstLine="281"/>
        <w:spacing w:after="0" w:line="252" w:lineRule="auto"/>
        <w:rPr>
          <w:sz w:val="20"/>
          <w:szCs w:val="20"/>
          <w:color w:val="auto"/>
        </w:rPr>
      </w:pPr>
      <w:r>
        <w:rPr>
          <w:rFonts w:ascii="Times New Roman" w:cs="Times New Roman" w:eastAsia="Times New Roman" w:hAnsi="Times New Roman"/>
          <w:sz w:val="14"/>
          <w:szCs w:val="14"/>
          <w:color w:val="auto"/>
        </w:rPr>
        <w:t>With respect to intercompany loans, the VIE repaid cash to our WFOE amounted to RMB65.5 million, nil and nil for the years ended December 31, 2023, 2024 and 2025, respectively. With respect to the collection of employee’s individual income tax from the exercise of share options, the VIE received cash from our</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26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02125" cy="622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599"/>
        <w:spacing w:after="0" w:line="256" w:lineRule="auto"/>
        <w:rPr>
          <w:sz w:val="20"/>
          <w:szCs w:val="20"/>
          <w:color w:val="auto"/>
        </w:rPr>
      </w:pPr>
      <w:r>
        <w:rPr>
          <w:rFonts w:ascii="Times New Roman" w:cs="Times New Roman" w:eastAsia="Times New Roman" w:hAnsi="Times New Roman"/>
          <w:sz w:val="14"/>
          <w:szCs w:val="14"/>
          <w:color w:val="auto"/>
        </w:rPr>
        <w:t>WFOE amounted to RMB16 thousand, RMB12 thousand and RMB60 thousand (US$10 thousand) for the years ended December 31, 2023, 2024 and 2025, respectively, which were then remitted to local tax authorities on behalf of our employees. With respect to intercompany receivables from the VIE to our subsidiaries, the VIE and VIE’s subsidiaries received cash from our WFOE and other subsidiaries amounting to RMB31.4 million for the year ended December 31, 2023, and paid cash to our WFOE and other subsidiaries amounting to RMB44.9 million and RMB53.8 million (US$7.7 million) for the years ended December 31, 2024 and 2025, respectively.</w:t>
      </w:r>
    </w:p>
    <w:p>
      <w:pPr>
        <w:spacing w:after="0" w:line="92" w:lineRule="exact"/>
        <w:rPr>
          <w:sz w:val="20"/>
          <w:szCs w:val="20"/>
          <w:color w:val="auto"/>
        </w:rPr>
      </w:pPr>
    </w:p>
    <w:p>
      <w:pPr>
        <w:ind w:left="1320" w:right="1339" w:firstLine="281"/>
        <w:spacing w:after="0" w:line="252" w:lineRule="auto"/>
        <w:rPr>
          <w:sz w:val="20"/>
          <w:szCs w:val="20"/>
          <w:color w:val="auto"/>
        </w:rPr>
      </w:pPr>
      <w:r>
        <w:rPr>
          <w:rFonts w:ascii="Times New Roman" w:cs="Times New Roman" w:eastAsia="Times New Roman" w:hAnsi="Times New Roman"/>
          <w:sz w:val="14"/>
          <w:szCs w:val="14"/>
          <w:color w:val="auto"/>
        </w:rPr>
        <w:t>We have established stringent cash management policies and procedures for cash flows within our organization. Each transfer of funds among our Cayman Islands holding company, our subsidiaries and the VIE is subject to internal approval. In general, transfer of funds is required to be effected through online banking system. Cash is transferred through our organization primarily in the manner as follows: (i) Aurora may transfer funds to the WFOE, Shenzhen JPush, through its Hong Kong subsidiary, KK Mobile Investment Limited, by additional capital contributions or shareholder loans, as the case may be, (ii) the WFOE may provide loans to the VIE, subject to statutory limits and restrictions, (iii) the VIE may repay loans to the WFOE at a fixed annual rate, and (iv) the WFOE may make dividends or other distributions to Aurora through KK Mobile Investment Limited. Our management is directly supervising cash management. The VIE initiates a cash request by putting forward a cash demand plan, which explains the specific amount and timing of cash requested, and submitting it to the finance department. The cashier specialists of our financial department examine the needs of cash and submit it to the director of financial department or the CEO for final approval. To ensure liquidity, there is no limit on the amount of cash that can be transferred through our organization. However, the annual cash flow plan between the VIE and our WFOE will be determined based on our annual business objectives approved by the board of directors and approved by the CEO. In addition, we monitor our cash balance on a daily basis and conduct periodic review on our cash holdings. See “— Our Holding Company Structure and Contractual Arrangements with the VIE” and “— Financial Information Related to the VIE, Parent and Its Subsidiaries” of the 2025 Form 20-F.</w:t>
      </w:r>
    </w:p>
    <w:p>
      <w:pPr>
        <w:spacing w:after="0" w:line="103" w:lineRule="exact"/>
        <w:rPr>
          <w:sz w:val="20"/>
          <w:szCs w:val="20"/>
          <w:color w:val="auto"/>
        </w:rPr>
      </w:pPr>
    </w:p>
    <w:p>
      <w:pPr>
        <w:ind w:left="1320" w:right="1399" w:firstLine="281"/>
        <w:spacing w:after="0" w:line="257" w:lineRule="auto"/>
        <w:rPr>
          <w:sz w:val="20"/>
          <w:szCs w:val="20"/>
          <w:color w:val="auto"/>
        </w:rPr>
      </w:pPr>
      <w:r>
        <w:rPr>
          <w:rFonts w:ascii="Times New Roman" w:cs="Times New Roman" w:eastAsia="Times New Roman" w:hAnsi="Times New Roman"/>
          <w:sz w:val="14"/>
          <w:szCs w:val="14"/>
          <w:color w:val="auto"/>
        </w:rPr>
        <w:t>Aurora has not declared or paid any cash dividends, nor does it has any present plan to pay any cash dividends on our common shares in the foreseeable future. We currently intend to retain most, if not all, of our available funds and any future earnings to operate and expand our business. See “Item 8. Financial Information — A. Consolidated Statements and Other Financial Information — Dividend Policy” of the 2025 Form 20-F. For mainland China and United States federal income tax considerations of an investment in our ADSs, see “Item 10. Additional Information — E. Taxation” of the 2025 Form 20-F.</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15" w:lineRule="exact"/>
        <w:rPr>
          <w:sz w:val="20"/>
          <w:szCs w:val="20"/>
          <w:color w:val="auto"/>
        </w:rPr>
      </w:pPr>
    </w:p>
    <w:p>
      <w:pPr>
        <w:ind w:left="1320" w:right="1299" w:firstLine="281"/>
        <w:spacing w:after="0" w:line="261" w:lineRule="auto"/>
        <w:rPr>
          <w:sz w:val="20"/>
          <w:szCs w:val="20"/>
          <w:color w:val="auto"/>
        </w:rPr>
      </w:pPr>
      <w:r>
        <w:rPr>
          <w:rFonts w:ascii="Times New Roman" w:cs="Times New Roman" w:eastAsia="Times New Roman" w:hAnsi="Times New Roman"/>
          <w:sz w:val="14"/>
          <w:szCs w:val="14"/>
          <w:color w:val="auto"/>
        </w:rPr>
        <w:t>Investing in our ADSs involves significant risks. You should carefully consider all of the information in this registration statement before making an investment in our ADSs. Below please find a summary of the principal risks we face, organized under relevant headings. The risks are discussed more fully in “Risk Factors” of the 2025 Form 20-F, which is incorporated herein by reference and in this prospectus.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125" w:lineRule="exact"/>
        <w:rPr>
          <w:sz w:val="20"/>
          <w:szCs w:val="20"/>
          <w:color w:val="auto"/>
        </w:rPr>
      </w:pPr>
    </w:p>
    <w:p>
      <w:pPr>
        <w:ind w:left="1320" w:right="1859" w:firstLine="281"/>
        <w:spacing w:after="0" w:line="283" w:lineRule="auto"/>
        <w:rPr>
          <w:sz w:val="20"/>
          <w:szCs w:val="20"/>
          <w:color w:val="auto"/>
        </w:rPr>
      </w:pPr>
      <w:r>
        <w:rPr>
          <w:rFonts w:ascii="Times New Roman" w:cs="Times New Roman" w:eastAsia="Times New Roman" w:hAnsi="Times New Roman"/>
          <w:sz w:val="14"/>
          <w:szCs w:val="14"/>
          <w:color w:val="auto"/>
        </w:rPr>
        <w:t>We and the VIE are subject to risks and uncertainties related to our and the VIE’s business and industry, including, but not limited to, the following:</w:t>
      </w:r>
    </w:p>
    <w:p>
      <w:pPr>
        <w:spacing w:after="0" w:line="41" w:lineRule="exact"/>
        <w:rPr>
          <w:sz w:val="20"/>
          <w:szCs w:val="20"/>
          <w:color w:val="auto"/>
        </w:rPr>
      </w:pPr>
    </w:p>
    <w:p>
      <w:pPr>
        <w:ind w:left="1740" w:hanging="140"/>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performance may not be indicative of our future performance;</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net losses, which we may continue to experience in the future;</w:t>
      </w:r>
    </w:p>
    <w:p>
      <w:pPr>
        <w:spacing w:after="0" w:line="91" w:lineRule="exact"/>
        <w:rPr>
          <w:rFonts w:ascii="Times New Roman" w:cs="Times New Roman" w:eastAsia="Times New Roman" w:hAnsi="Times New Roman"/>
          <w:sz w:val="14"/>
          <w:szCs w:val="14"/>
          <w:color w:val="auto"/>
        </w:rPr>
      </w:pPr>
    </w:p>
    <w:p>
      <w:pPr>
        <w:ind w:left="1740" w:right="1359" w:hanging="140"/>
        <w:spacing w:after="0" w:line="267"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successfully execute our strategy and continue to develop and effectively market SAAS Businesses and our other business initiatives that anticipate and respond to the needs of app developers and our customers, our business, operating results and financial condition may suffer;</w:t>
      </w:r>
    </w:p>
    <w:p>
      <w:pPr>
        <w:spacing w:after="0" w:line="51" w:lineRule="exact"/>
        <w:rPr>
          <w:rFonts w:ascii="Times New Roman" w:cs="Times New Roman" w:eastAsia="Times New Roman" w:hAnsi="Times New Roman"/>
          <w:sz w:val="14"/>
          <w:szCs w:val="14"/>
          <w:color w:val="auto"/>
        </w:rPr>
      </w:pPr>
    </w:p>
    <w:p>
      <w:pPr>
        <w:ind w:left="1740" w:right="161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continue to gain access to mobile data in the future, our business, operating results and financial condition could be materially and adversely affected;</w:t>
      </w:r>
    </w:p>
    <w:p>
      <w:pPr>
        <w:spacing w:after="0" w:line="41" w:lineRule="exact"/>
        <w:rPr>
          <w:rFonts w:ascii="Times New Roman" w:cs="Times New Roman" w:eastAsia="Times New Roman" w:hAnsi="Times New Roman"/>
          <w:sz w:val="14"/>
          <w:szCs w:val="14"/>
          <w:color w:val="auto"/>
        </w:rPr>
      </w:pPr>
    </w:p>
    <w:p>
      <w:pPr>
        <w:ind w:left="1740" w:right="141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market for our SAAS Businesses and other business initiatives develops more slowly than we expect, our operating results could be harmed;</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66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02125" cy="626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40" w:right="1419" w:hanging="140"/>
        <w:spacing w:after="0" w:line="261"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57" w:lineRule="exact"/>
        <w:rPr>
          <w:rFonts w:ascii="Times New Roman" w:cs="Times New Roman" w:eastAsia="Times New Roman" w:hAnsi="Times New Roman"/>
          <w:sz w:val="14"/>
          <w:szCs w:val="14"/>
          <w:color w:val="auto"/>
        </w:rPr>
      </w:pPr>
    </w:p>
    <w:p>
      <w:pPr>
        <w:ind w:left="1740" w:right="1379" w:hanging="140"/>
        <w:spacing w:after="0" w:line="283"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strong brand and failing to maintain and enhance our brand would hurt our ability to expand our base of app developers and customers;</w:t>
      </w:r>
    </w:p>
    <w:p>
      <w:pPr>
        <w:spacing w:after="0" w:line="41" w:lineRule="exact"/>
        <w:rPr>
          <w:rFonts w:ascii="Times New Roman" w:cs="Times New Roman" w:eastAsia="Times New Roman" w:hAnsi="Times New Roman"/>
          <w:sz w:val="14"/>
          <w:szCs w:val="14"/>
          <w:color w:val="auto"/>
        </w:rPr>
      </w:pPr>
    </w:p>
    <w:p>
      <w:pPr>
        <w:ind w:left="1740" w:right="1339" w:hanging="140"/>
        <w:spacing w:after="0" w:line="267"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artificial intelligence industry is subject to evolving and extensive regulations. The adoption and use of artificial intelligence in our product offerings may subject us to potential infringement claims and increase our regulatory compliance costs;</w:t>
      </w:r>
    </w:p>
    <w:p>
      <w:pPr>
        <w:spacing w:after="0" w:line="51" w:lineRule="exact"/>
        <w:rPr>
          <w:rFonts w:ascii="Times New Roman" w:cs="Times New Roman" w:eastAsia="Times New Roman" w:hAnsi="Times New Roman"/>
          <w:sz w:val="14"/>
          <w:szCs w:val="14"/>
          <w:color w:val="auto"/>
        </w:rPr>
      </w:pPr>
    </w:p>
    <w:p>
      <w:pPr>
        <w:ind w:left="1740" w:right="1799" w:hanging="140"/>
        <w:spacing w:after="0" w:line="283"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keep up with rapid changes in technologies, our future success may be adversely affected; and</w:t>
      </w:r>
    </w:p>
    <w:p>
      <w:pPr>
        <w:spacing w:after="0" w:line="4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compete successfully with our current or future competitors.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Corporate Structure</w:t>
      </w:r>
    </w:p>
    <w:p>
      <w:pPr>
        <w:spacing w:after="0" w:line="125" w:lineRule="exact"/>
        <w:rPr>
          <w:sz w:val="20"/>
          <w:szCs w:val="20"/>
          <w:color w:val="auto"/>
        </w:rPr>
      </w:pPr>
    </w:p>
    <w:p>
      <w:pPr>
        <w:ind w:left="1320" w:right="1399" w:firstLine="281"/>
        <w:spacing w:after="0" w:line="268" w:lineRule="auto"/>
        <w:rPr>
          <w:sz w:val="20"/>
          <w:szCs w:val="20"/>
          <w:color w:val="auto"/>
        </w:rPr>
      </w:pPr>
      <w:r>
        <w:rPr>
          <w:rFonts w:ascii="Times New Roman" w:cs="Times New Roman" w:eastAsia="Times New Roman" w:hAnsi="Times New Roman"/>
          <w:sz w:val="14"/>
          <w:szCs w:val="14"/>
          <w:color w:val="auto"/>
        </w:rPr>
        <w:t>We and the VIE are also subject to risks and uncertainties related to our corporate structure, including, but not limited to, the following:</w:t>
      </w:r>
    </w:p>
    <w:p>
      <w:pPr>
        <w:spacing w:after="0" w:line="40" w:lineRule="exact"/>
        <w:rPr>
          <w:sz w:val="20"/>
          <w:szCs w:val="20"/>
          <w:color w:val="auto"/>
        </w:rPr>
      </w:pPr>
    </w:p>
    <w:p>
      <w:pPr>
        <w:ind w:left="1740" w:right="1319" w:hanging="140"/>
        <w:spacing w:after="0" w:line="253"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Aurora is a Cayman Islands holding company with no equity ownership in the VIE, and we conduct our operations in mainland China primarily through (i) our mainland China subsidiary and (ii) the VIE with which we have maintained contractual arrangements. Investors in our ADSs thus are not purchasing equity interest in our operating entities in China but instead are purchasing equity interest in a Cayman Islands holding company. 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and the VIE could be subject to severe penalties, or be forced to relinquish interest in those operations. Our holding company in the Cayman Islands, our mainland China subsidiary, the VIE, and investors of Aurora face uncertainty about potential future actions by the PRC government that could affect the enforceability of the contractual arrangements with the VIE and, consequently, significantly affect the financial performance of the VIE and our company as a whole;</w:t>
      </w:r>
    </w:p>
    <w:p>
      <w:pPr>
        <w:spacing w:after="0" w:line="236" w:lineRule="exact"/>
        <w:rPr>
          <w:rFonts w:ascii="Times New Roman" w:cs="Times New Roman" w:eastAsia="Times New Roman" w:hAnsi="Times New Roman"/>
          <w:sz w:val="14"/>
          <w:szCs w:val="14"/>
          <w:color w:val="auto"/>
        </w:rPr>
      </w:pPr>
    </w:p>
    <w:p>
      <w:pPr>
        <w:ind w:left="1740" w:right="1379" w:hanging="140"/>
        <w:spacing w:after="0" w:line="256"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contractual arrangements with the VIE and its shareholders for substantially all of our business operations, which may not be as effective as direct ownership. We rely on the performance by the VIE and its shareholders of their obligations under the contracts to direct the business operations of the VIE. However, the shareholders of the VIE may not act in the best interests of our company or may not perform their obligations under these contracts. Such risks exist throughout the period in which we intend to operate certain portions of our business through the contractual arrangements with the VIE;</w:t>
      </w:r>
    </w:p>
    <w:p>
      <w:pPr>
        <w:spacing w:after="0" w:line="232" w:lineRule="exact"/>
        <w:rPr>
          <w:rFonts w:ascii="Times New Roman" w:cs="Times New Roman" w:eastAsia="Times New Roman" w:hAnsi="Times New Roman"/>
          <w:sz w:val="14"/>
          <w:szCs w:val="14"/>
          <w:color w:val="auto"/>
        </w:rPr>
      </w:pPr>
    </w:p>
    <w:p>
      <w:pPr>
        <w:ind w:left="1740" w:right="1359" w:hanging="140"/>
        <w:spacing w:after="0" w:line="256"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the VIE or its shareholders to perform their obligations under our contractual arrangements with them would have a material and adverse effect on our business. If the VIE or its shareholders fail to perform their respective obligations under the contractual arrangements, we may have to incur substantial costs and expend additional resources to enforce such arrangements. We may also have to rely on legal remedies under the law of mainland China, including seeking specific performance or injunctive relief, and claiming damages, which we cannot assure will be effective under the law of mainland China; and</w:t>
      </w:r>
    </w:p>
    <w:p>
      <w:pPr>
        <w:spacing w:after="0" w:line="60" w:lineRule="exact"/>
        <w:rPr>
          <w:rFonts w:ascii="Times New Roman" w:cs="Times New Roman" w:eastAsia="Times New Roman" w:hAnsi="Times New Roman"/>
          <w:sz w:val="14"/>
          <w:szCs w:val="14"/>
          <w:color w:val="auto"/>
        </w:rPr>
      </w:pPr>
    </w:p>
    <w:p>
      <w:pPr>
        <w:ind w:left="1740" w:right="1339" w:hanging="140"/>
        <w:spacing w:after="0" w:line="255"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the VIE may have potential conflicts of interest with Aurora, which may materially and adversely affect our business and financial condition. These shareholders may breach, or cause the VIE to breach, or refuse to renew, the existing contractual arrangements we have with them and the VIE, which would have a material and adverse effect on our ability to direct the business operations of the VIE and receive economic benefits from them.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38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2125" cy="638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Doing Business in China</w:t>
      </w:r>
    </w:p>
    <w:p>
      <w:pPr>
        <w:spacing w:after="0" w:line="125" w:lineRule="exact"/>
        <w:rPr>
          <w:sz w:val="20"/>
          <w:szCs w:val="20"/>
          <w:color w:val="auto"/>
        </w:rPr>
      </w:pPr>
    </w:p>
    <w:p>
      <w:pPr>
        <w:ind w:left="1320" w:right="1519" w:firstLine="281"/>
        <w:spacing w:after="0" w:line="268" w:lineRule="auto"/>
        <w:rPr>
          <w:sz w:val="20"/>
          <w:szCs w:val="20"/>
          <w:color w:val="auto"/>
        </w:rPr>
      </w:pPr>
      <w:r>
        <w:rPr>
          <w:rFonts w:ascii="Times New Roman" w:cs="Times New Roman" w:eastAsia="Times New Roman" w:hAnsi="Times New Roman"/>
          <w:sz w:val="14"/>
          <w:szCs w:val="14"/>
          <w:color w:val="auto"/>
        </w:rPr>
        <w:t>We and the VIE face risks and uncertainties related to doing business in China in general, including, but not limited to, the following:</w:t>
      </w:r>
    </w:p>
    <w:p>
      <w:pPr>
        <w:spacing w:after="0" w:line="40" w:lineRule="exact"/>
        <w:rPr>
          <w:sz w:val="20"/>
          <w:szCs w:val="20"/>
          <w:color w:val="auto"/>
        </w:rPr>
      </w:pPr>
    </w:p>
    <w:p>
      <w:pPr>
        <w:ind w:left="1740" w:right="1419" w:hanging="140"/>
        <w:spacing w:after="0" w:line="26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mainland China’s economic, political or social conditions or government policies could have a material adverse effect on our and the VIE’s business and operations. The enforcement of laws and rules and regulations in China may change quickly with little advance notice, which could result in a material adverse change in our and the VIE’s operations and the value of our ADSs;</w:t>
      </w:r>
    </w:p>
    <w:p>
      <w:pPr>
        <w:spacing w:after="0" w:line="57" w:lineRule="exact"/>
        <w:rPr>
          <w:rFonts w:ascii="Times New Roman" w:cs="Times New Roman" w:eastAsia="Times New Roman" w:hAnsi="Times New Roman"/>
          <w:sz w:val="14"/>
          <w:szCs w:val="14"/>
          <w:color w:val="auto"/>
        </w:rPr>
      </w:pPr>
    </w:p>
    <w:p>
      <w:pPr>
        <w:ind w:left="1740" w:right="1379" w:hanging="140"/>
        <w:spacing w:after="0" w:line="261"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w:t>
      </w:r>
    </w:p>
    <w:p>
      <w:pPr>
        <w:spacing w:after="0" w:line="57" w:lineRule="exact"/>
        <w:rPr>
          <w:rFonts w:ascii="Times New Roman" w:cs="Times New Roman" w:eastAsia="Times New Roman" w:hAnsi="Times New Roman"/>
          <w:sz w:val="14"/>
          <w:szCs w:val="14"/>
          <w:color w:val="auto"/>
        </w:rPr>
      </w:pPr>
    </w:p>
    <w:p>
      <w:pPr>
        <w:ind w:left="1740" w:right="1379" w:hanging="140"/>
        <w:spacing w:after="0" w:line="25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and/or other requirements of the CSRC or other PRC governmental authorities may be required in connection with an offering under the rules, regulations or policies of mainland China, and, if required, we and the VIE cannot predict whether or how soon we will be able to obtain such approval. Any failure to obtain or delay in obtaining the requisite governmental approval for an offering, or a rescission of such approval, would subject us and the VIE to sanctions imposed by the PRC regulatory authority;</w:t>
      </w:r>
    </w:p>
    <w:p>
      <w:pPr>
        <w:spacing w:after="0" w:line="59" w:lineRule="exact"/>
        <w:rPr>
          <w:rFonts w:ascii="Times New Roman" w:cs="Times New Roman" w:eastAsia="Times New Roman" w:hAnsi="Times New Roman"/>
          <w:sz w:val="14"/>
          <w:szCs w:val="14"/>
          <w:color w:val="auto"/>
        </w:rPr>
      </w:pPr>
    </w:p>
    <w:p>
      <w:pPr>
        <w:ind w:left="1740" w:right="1319" w:hanging="140"/>
        <w:spacing w:after="0" w:line="255"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government’s significant oversight over our or the VIE’s business operation could result in a material adverse change in our and the VIE’s operations and the value of our ADSs. The PRC government may intervene or influence our and the VIE’s operations at any time, or may exert more control over offerings conducted overseas and/or foreign investment in China-based issuers.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52" w:lineRule="exact"/>
        <w:rPr>
          <w:rFonts w:ascii="Times New Roman" w:cs="Times New Roman" w:eastAsia="Times New Roman" w:hAnsi="Times New Roman"/>
          <w:sz w:val="14"/>
          <w:szCs w:val="14"/>
          <w:color w:val="auto"/>
        </w:rPr>
      </w:pPr>
    </w:p>
    <w:p>
      <w:pPr>
        <w:ind w:left="1740" w:right="1379" w:hanging="140"/>
        <w:spacing w:after="0" w:line="267"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51" w:lineRule="exact"/>
        <w:rPr>
          <w:rFonts w:ascii="Times New Roman" w:cs="Times New Roman" w:eastAsia="Times New Roman" w:hAnsi="Times New Roman"/>
          <w:sz w:val="14"/>
          <w:szCs w:val="14"/>
          <w:color w:val="auto"/>
        </w:rPr>
      </w:pPr>
    </w:p>
    <w:p>
      <w:pPr>
        <w:ind w:left="1740" w:right="1359" w:hanging="140"/>
        <w:spacing w:after="0" w:line="255"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April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the 2025 Form 20-F.</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ADSs</w:t>
      </w:r>
    </w:p>
    <w:p>
      <w:pPr>
        <w:spacing w:after="0" w:line="1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face risks and uncertainties related to our ADSs, including, but not limited to, the following:</w:t>
      </w:r>
    </w:p>
    <w:p>
      <w:pPr>
        <w:spacing w:after="0" w:line="92" w:lineRule="exact"/>
        <w:rPr>
          <w:sz w:val="20"/>
          <w:szCs w:val="20"/>
          <w:color w:val="auto"/>
        </w:rPr>
      </w:pPr>
    </w:p>
    <w:p>
      <w:pPr>
        <w:ind w:left="1740" w:right="1659" w:hanging="140"/>
        <w:spacing w:after="0" w:line="283"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the ADSs is likely to be volatile, which could result in substantial losses to investors; and</w:t>
      </w:r>
    </w:p>
    <w:p>
      <w:pPr>
        <w:spacing w:after="0" w:line="41" w:lineRule="exact"/>
        <w:rPr>
          <w:rFonts w:ascii="Times New Roman" w:cs="Times New Roman" w:eastAsia="Times New Roman" w:hAnsi="Times New Roman"/>
          <w:sz w:val="14"/>
          <w:szCs w:val="14"/>
          <w:color w:val="auto"/>
        </w:rPr>
      </w:pPr>
    </w:p>
    <w:p>
      <w:pPr>
        <w:jc w:val="both"/>
        <w:ind w:left="1740" w:right="1699" w:hanging="140"/>
        <w:spacing w:after="0" w:line="267"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15" w:lineRule="exact"/>
        <w:rPr>
          <w:sz w:val="20"/>
          <w:szCs w:val="20"/>
          <w:color w:val="auto"/>
        </w:rPr>
      </w:pPr>
    </w:p>
    <w:p>
      <w:pPr>
        <w:ind w:left="1320" w:right="1339" w:firstLine="281"/>
        <w:spacing w:after="0" w:line="252" w:lineRule="auto"/>
        <w:rPr>
          <w:sz w:val="20"/>
          <w:szCs w:val="20"/>
          <w:color w:val="auto"/>
        </w:rPr>
      </w:pPr>
      <w:r>
        <w:rPr>
          <w:rFonts w:ascii="Times New Roman" w:cs="Times New Roman" w:eastAsia="Times New Roman" w:hAnsi="Times New Roman"/>
          <w:sz w:val="14"/>
          <w:szCs w:val="14"/>
          <w:color w:val="auto"/>
        </w:rPr>
        <w:t>Our principal executive offices are located at 31/F, Block 12-A, Shenzhen Bay Science and Technology Ecological Park, Nanshan District, Shenzhen, Guangdong 518057, People’s Republic of China. Our telephone number at this address is +86 755-8388-1462. Our registered office in the Cayman Islands is located</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39"/>
        <w:spacing w:after="0" w:line="267" w:lineRule="auto"/>
        <w:rPr>
          <w:sz w:val="20"/>
          <w:szCs w:val="20"/>
          <w:color w:val="auto"/>
        </w:rPr>
      </w:pPr>
      <w:r>
        <w:rPr>
          <w:rFonts w:ascii="Times New Roman" w:cs="Times New Roman" w:eastAsia="Times New Roman" w:hAnsi="Times New Roman"/>
          <w:sz w:val="14"/>
          <w:szCs w:val="14"/>
          <w:color w:val="auto"/>
        </w:rPr>
        <w:t>at the offices of Maples Corporate Services Limited at PO Box 309, Ugland House, Grand Cayman, KY1-1104, Cayman Islands. Our agent for service of process in the United States is Puglisi &amp; Associates, located at 850 Library Avenue, Suite 204, Newark, DE 19711.</w:t>
      </w:r>
    </w:p>
    <w:p>
      <w:pPr>
        <w:spacing w:after="0" w:line="84" w:lineRule="exact"/>
        <w:rPr>
          <w:sz w:val="20"/>
          <w:szCs w:val="20"/>
          <w:color w:val="auto"/>
        </w:rPr>
      </w:pPr>
    </w:p>
    <w:p>
      <w:pPr>
        <w:ind w:left="1320" w:right="1479" w:firstLine="281"/>
        <w:spacing w:after="0" w:line="261" w:lineRule="auto"/>
        <w:rPr>
          <w:sz w:val="20"/>
          <w:szCs w:val="20"/>
          <w:color w:val="auto"/>
        </w:rPr>
      </w:pPr>
      <w:r>
        <w:rPr>
          <w:rFonts w:ascii="Times New Roman" w:cs="Times New Roman" w:eastAsia="Times New Roman" w:hAnsi="Times New Roman"/>
          <w:sz w:val="14"/>
          <w:szCs w:val="14"/>
          <w:color w:val="auto"/>
        </w:rPr>
        <w:t>SEC maintains an internet site that contains reports, proxy and information statements, and other information regarding issuers that file electronically with the SEC on www.sec.gov. You can also find information on our website https://ir.jiguang.cn.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Common shares currently</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0" w:right="100" w:hanging="139"/>
        <w:spacing w:after="0" w:line="267" w:lineRule="auto"/>
        <w:rPr>
          <w:sz w:val="20"/>
          <w:szCs w:val="20"/>
          <w:color w:val="auto"/>
        </w:rPr>
      </w:pPr>
      <w:r>
        <w:rPr>
          <w:rFonts w:ascii="Times New Roman" w:cs="Times New Roman" w:eastAsia="Times New Roman" w:hAnsi="Times New Roman"/>
          <w:sz w:val="14"/>
          <w:szCs w:val="14"/>
          <w:color w:val="auto"/>
        </w:rPr>
        <w:t>Common shares outstanding assuming the exercise in full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60" w:hanging="139"/>
        <w:spacing w:after="0" w:line="267" w:lineRule="auto"/>
        <w:rPr>
          <w:sz w:val="20"/>
          <w:szCs w:val="20"/>
          <w:color w:val="auto"/>
        </w:rPr>
      </w:pPr>
      <w:r>
        <w:rPr>
          <w:rFonts w:ascii="Times New Roman" w:cs="Times New Roman" w:eastAsia="Times New Roman" w:hAnsi="Times New Roman"/>
          <w:sz w:val="14"/>
          <w:szCs w:val="14"/>
          <w:color w:val="auto"/>
        </w:rPr>
        <w:t>Class A common shares (or ADSs representing such shares) offered by the selling securityholder</w:t>
      </w:r>
    </w:p>
    <w:p>
      <w:pPr>
        <w:spacing w:after="0" w:line="200" w:lineRule="exact"/>
        <w:rPr>
          <w:sz w:val="20"/>
          <w:szCs w:val="20"/>
          <w:color w:val="auto"/>
        </w:rPr>
      </w:pPr>
    </w:p>
    <w:p>
      <w:pPr>
        <w:spacing w:after="0" w:line="35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Terms of the offering</w:t>
      </w:r>
    </w:p>
    <w:p>
      <w:pPr>
        <w:spacing w:after="0" w:line="200" w:lineRule="exact"/>
        <w:rPr>
          <w:sz w:val="20"/>
          <w:szCs w:val="20"/>
          <w:color w:val="auto"/>
        </w:rPr>
      </w:pPr>
    </w:p>
    <w:p>
      <w:pPr>
        <w:spacing w:after="0" w:line="3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3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right="80" w:hanging="139"/>
        <w:spacing w:after="0" w:line="283" w:lineRule="auto"/>
        <w:rPr>
          <w:sz w:val="20"/>
          <w:szCs w:val="20"/>
          <w:color w:val="auto"/>
        </w:rPr>
      </w:pPr>
      <w:r>
        <w:rPr>
          <w:rFonts w:ascii="Times New Roman" w:cs="Times New Roman" w:eastAsia="Times New Roman" w:hAnsi="Times New Roman"/>
          <w:sz w:val="14"/>
          <w:szCs w:val="14"/>
          <w:color w:val="auto"/>
        </w:rPr>
        <w:t>Nasdaq Global Market symbol for our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79,467,902 common shares issued and outstanding, comprising</w:t>
      </w:r>
    </w:p>
    <w:p>
      <w:pPr>
        <w:spacing w:after="0" w:line="22" w:lineRule="exact"/>
        <w:rPr>
          <w:sz w:val="20"/>
          <w:szCs w:val="20"/>
          <w:color w:val="auto"/>
        </w:rPr>
      </w:pPr>
    </w:p>
    <w:p>
      <w:pPr>
        <w:ind w:right="1339" w:firstLine="5"/>
        <w:spacing w:after="0" w:line="250" w:lineRule="auto"/>
        <w:tabs>
          <w:tab w:leader="none" w:pos="17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62,467,713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w:t>
      </w:r>
    </w:p>
    <w:p>
      <w:pPr>
        <w:spacing w:after="0" w:line="3"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17,000,189 Class B common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89,134,568 common shares issued and outstanding, comprising</w:t>
      </w:r>
    </w:p>
    <w:p>
      <w:pPr>
        <w:spacing w:after="0" w:line="22" w:lineRule="exact"/>
        <w:rPr>
          <w:sz w:val="20"/>
          <w:szCs w:val="20"/>
          <w:color w:val="auto"/>
        </w:rPr>
      </w:pPr>
    </w:p>
    <w:p>
      <w:pPr>
        <w:ind w:right="1339" w:firstLine="5"/>
        <w:spacing w:after="0" w:line="250" w:lineRule="auto"/>
        <w:tabs>
          <w:tab w:leader="none" w:pos="17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72,134,379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w:t>
      </w:r>
    </w:p>
    <w:p>
      <w:pPr>
        <w:spacing w:after="0" w:line="3"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17,000,189 Class B common shares.</w:t>
      </w:r>
    </w:p>
    <w:p>
      <w:pPr>
        <w:spacing w:after="0" w:line="200" w:lineRule="exact"/>
        <w:rPr>
          <w:sz w:val="20"/>
          <w:szCs w:val="20"/>
          <w:color w:val="auto"/>
        </w:rPr>
      </w:pPr>
    </w:p>
    <w:p>
      <w:pPr>
        <w:spacing w:after="0" w:line="214" w:lineRule="exact"/>
        <w:rPr>
          <w:sz w:val="20"/>
          <w:szCs w:val="20"/>
          <w:color w:val="auto"/>
        </w:rPr>
      </w:pPr>
    </w:p>
    <w:p>
      <w:pPr>
        <w:ind w:right="1299"/>
        <w:spacing w:after="0" w:line="261" w:lineRule="auto"/>
        <w:rPr>
          <w:sz w:val="20"/>
          <w:szCs w:val="20"/>
          <w:color w:val="auto"/>
        </w:rPr>
      </w:pPr>
      <w:r>
        <w:rPr>
          <w:rFonts w:ascii="Times New Roman" w:cs="Times New Roman" w:eastAsia="Times New Roman" w:hAnsi="Times New Roman"/>
          <w:sz w:val="14"/>
          <w:szCs w:val="14"/>
          <w:color w:val="auto"/>
        </w:rPr>
        <w:t>9,666,666 of our Class A common shares, represented by 725,000 American Depositary Shares, issuable upon the exercise of the Warrant, by the selling securityholder identified in this prospectus. Three ADSs represent forty Class A common shares.</w:t>
      </w:r>
    </w:p>
    <w:p>
      <w:pPr>
        <w:spacing w:after="0" w:line="57" w:lineRule="exact"/>
        <w:rPr>
          <w:sz w:val="20"/>
          <w:szCs w:val="20"/>
          <w:color w:val="auto"/>
        </w:rPr>
      </w:pPr>
    </w:p>
    <w:p>
      <w:pPr>
        <w:ind w:right="1479"/>
        <w:spacing w:after="0" w:line="261" w:lineRule="auto"/>
        <w:rPr>
          <w:sz w:val="20"/>
          <w:szCs w:val="20"/>
          <w:color w:val="auto"/>
        </w:rPr>
      </w:pPr>
      <w:r>
        <w:rPr>
          <w:rFonts w:ascii="Times New Roman" w:cs="Times New Roman" w:eastAsia="Times New Roman" w:hAnsi="Times New Roman"/>
          <w:sz w:val="14"/>
          <w:szCs w:val="14"/>
          <w:color w:val="auto"/>
        </w:rPr>
        <w:t>The selling securityholder will determine when and how it will sell the Class A common shares (or ADSs representing such shares) offered in this prospectus, as described in “Plan of Distribution.”</w:t>
      </w:r>
    </w:p>
    <w:p>
      <w:pPr>
        <w:spacing w:after="0" w:line="57" w:lineRule="exact"/>
        <w:rPr>
          <w:sz w:val="20"/>
          <w:szCs w:val="20"/>
          <w:color w:val="auto"/>
        </w:rPr>
      </w:pPr>
    </w:p>
    <w:p>
      <w:pPr>
        <w:ind w:right="1399"/>
        <w:spacing w:after="0" w:line="261" w:lineRule="auto"/>
        <w:rPr>
          <w:sz w:val="20"/>
          <w:szCs w:val="20"/>
          <w:color w:val="auto"/>
        </w:rPr>
      </w:pPr>
      <w:r>
        <w:rPr>
          <w:rFonts w:ascii="Times New Roman" w:cs="Times New Roman" w:eastAsia="Times New Roman" w:hAnsi="Times New Roman"/>
          <w:sz w:val="14"/>
          <w:szCs w:val="14"/>
          <w:color w:val="auto"/>
        </w:rPr>
        <w:t>We will not receive any of the proceeds from the sale of Class A common shares (or ADSs representing such shares) in this offering. The selling securityholder will receive all of the proceeds from this offering.</w:t>
      </w:r>
    </w:p>
    <w:p>
      <w:pPr>
        <w:spacing w:after="0" w:line="57" w:lineRule="exact"/>
        <w:rPr>
          <w:sz w:val="20"/>
          <w:szCs w:val="20"/>
          <w:color w:val="auto"/>
        </w:rPr>
      </w:pPr>
    </w:p>
    <w:p>
      <w:pPr>
        <w:ind w:right="1459"/>
        <w:spacing w:after="0" w:line="259" w:lineRule="auto"/>
        <w:rPr>
          <w:sz w:val="20"/>
          <w:szCs w:val="20"/>
          <w:color w:val="auto"/>
        </w:rPr>
      </w:pPr>
      <w:r>
        <w:rPr>
          <w:rFonts w:ascii="Times New Roman" w:cs="Times New Roman" w:eastAsia="Times New Roman" w:hAnsi="Times New Roman"/>
          <w:sz w:val="14"/>
          <w:szCs w:val="14"/>
          <w:color w:val="auto"/>
        </w:rPr>
        <w:t xml:space="preserve">See “Risk Factors” beginning on page </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and under similar headings in the other documents that incorporated by reference into this prospectus for a discussion of factors you should carefully consider before deciding to invest in our common shares or ADSs.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“JG”</w:t>
      </w:r>
    </w:p>
    <w:p>
      <w:pPr>
        <w:spacing w:after="0" w:line="250" w:lineRule="exact"/>
        <w:rPr>
          <w:sz w:val="20"/>
          <w:szCs w:val="20"/>
          <w:color w:val="auto"/>
        </w:rPr>
      </w:pPr>
    </w:p>
    <w:p>
      <w:pPr>
        <w:sectPr>
          <w:pgSz w:w="11900" w:h="16838" w:orient="portrait"/>
          <w:cols w:equalWidth="0" w:num="2">
            <w:col w:w="3400" w:space="440"/>
            <w:col w:w="517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79" w:firstLine="281"/>
        <w:spacing w:after="0" w:line="254"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significant risks. Before making an investment in our securities, you should carefully read all of the information contained in this prospectus and in the documents incorporated by reference herein. For a discussion of risk factors that you should carefully consider before deciding to purchase any of our securities, please review the additional risk factors disclosed below, the information under the heading “Risk Factors” and the section entitled “Risk Factors” contained in our 2025 Form 20-F. In addition, please read “About this Prospectus” and “Special Note Regarding Forward-Looking Statements” in this prospectus, where we describe additional uncertainties associated with our business and the forward-looking statements included or incorporated by reference in this prospectus. Please note that additional risks not currently known to us or that we currently deem immaterial also may adversely affect our business, operations results of operations, financial condition and prospects.</w:t>
      </w:r>
    </w:p>
    <w:p>
      <w:pPr>
        <w:spacing w:after="0" w:line="316" w:lineRule="exact"/>
        <w:rPr>
          <w:sz w:val="20"/>
          <w:szCs w:val="20"/>
          <w:color w:val="auto"/>
        </w:rPr>
      </w:pPr>
    </w:p>
    <w:p>
      <w:pPr>
        <w:ind w:left="1300" w:right="1599"/>
        <w:spacing w:after="0" w:line="286" w:lineRule="auto"/>
        <w:rPr>
          <w:sz w:val="20"/>
          <w:szCs w:val="20"/>
          <w:color w:val="auto"/>
        </w:rPr>
      </w:pPr>
      <w:r>
        <w:rPr>
          <w:rFonts w:ascii="Times New Roman" w:cs="Times New Roman" w:eastAsia="Times New Roman" w:hAnsi="Times New Roman"/>
          <w:sz w:val="14"/>
          <w:szCs w:val="14"/>
          <w:b w:val="1"/>
          <w:bCs w:val="1"/>
          <w:color w:val="auto"/>
        </w:rPr>
        <w:t>The sale or availability for sale, or perceived sale or availability for sale, of substantial amounts of the ADSs could adversely affect their market price.</w:t>
      </w:r>
    </w:p>
    <w:p>
      <w:pPr>
        <w:spacing w:after="0" w:line="71"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color w:val="auto"/>
        </w:rPr>
        <w:t>Sales of substantial amounts of the ADSs in the public market, or the perception that these sales could occur, could adversely affect the market price of the ADSs. As of March 20, 2026, we had 79,467,902 common shares outstanding, comprising of (i) 62,467,713 Class A common shares (excluding treasury shares), and (ii) 17,000,189 Class B common shares. Among these shares, 41,278,304 Class A common shares are in the form of ADSs, which are freely transferable without restriction or additional registration under the Securities Act. The remaining Class A common shares issued and outstanding and the Class B common shares will be available for sale, subject to volume and other restrictions as applicable under Rules 144 and 701 under the Securities Act. Certain holders of our common shares have caused us to register under the Securities Act the sale of their shares while other holders may also demand registration in the future. We are also registering for resale an aggregate of 9,666,666 Class A common shares, represented by 725,000 ADSs, issuable upon the exercise the Warrant, under the registration statement of which this prospectus forms a part.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adversely affect the market price of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We will not receive any of the proceeds from the sale of Class A common shares (or ADSs representing such shares) in this offering. The selling securityholder will receive all of the proceeds from this offering.</w:t>
      </w:r>
    </w:p>
    <w:p>
      <w:pPr>
        <w:spacing w:after="0" w:line="73" w:lineRule="exact"/>
        <w:rPr>
          <w:sz w:val="20"/>
          <w:szCs w:val="20"/>
          <w:color w:val="auto"/>
        </w:rPr>
      </w:pPr>
    </w:p>
    <w:p>
      <w:pPr>
        <w:ind w:left="1300" w:right="1439" w:firstLine="281"/>
        <w:spacing w:after="0" w:line="256" w:lineRule="auto"/>
        <w:rPr>
          <w:sz w:val="20"/>
          <w:szCs w:val="20"/>
          <w:color w:val="auto"/>
        </w:rPr>
      </w:pPr>
      <w:r>
        <w:rPr>
          <w:rFonts w:ascii="Times New Roman" w:cs="Times New Roman" w:eastAsia="Times New Roman" w:hAnsi="Times New Roman"/>
          <w:sz w:val="14"/>
          <w:szCs w:val="14"/>
          <w:color w:val="auto"/>
        </w:rPr>
        <w:t>The selling securityholder will pay any underwriting discounts and commissions and placement agent fees or other similar expenses incurred by the selling securityholder for brokerage, or legal services or any other expenses incurred by the selling securityholder in disposing of the Class A common shares (or ADSs representing such shares). We will bear all other fees and expenses incurred in effecting the registration of the Class A common shares (or ADSs representing such shares) covered by this prospectus, including registration, listing, qualification and filing fees, depositary fees,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w:t>
      </w:r>
    </w:p>
    <w:p>
      <w:pPr>
        <w:spacing w:after="0" w:line="125" w:lineRule="exact"/>
        <w:rPr>
          <w:sz w:val="20"/>
          <w:szCs w:val="20"/>
          <w:color w:val="auto"/>
        </w:rPr>
      </w:pPr>
    </w:p>
    <w:p>
      <w:pPr>
        <w:ind w:left="1300" w:right="1519" w:firstLine="281"/>
        <w:spacing w:after="0" w:line="247" w:lineRule="auto"/>
        <w:rPr>
          <w:sz w:val="20"/>
          <w:szCs w:val="20"/>
          <w:color w:val="auto"/>
        </w:rPr>
      </w:pPr>
      <w:r>
        <w:rPr>
          <w:rFonts w:ascii="Times New Roman" w:cs="Times New Roman" w:eastAsia="Times New Roman" w:hAnsi="Times New Roman"/>
          <w:sz w:val="14"/>
          <w:szCs w:val="14"/>
          <w:color w:val="auto"/>
        </w:rPr>
        <w:t>We are registering 9,666,666 of our Class A common shares, represented by 725,000 ADSs, issuable upon exercise of the Warrant, to permit the selling securityholder and its pledgees, donees, transferees, assignees and successors that receive their shares after the date of this prospectus to resell or otherwise dispose of the shares (or ADSs representing such shares) from time to time in the manner contemplated under “Plan of Distribution” below.</w:t>
      </w:r>
    </w:p>
    <w:p>
      <w:pPr>
        <w:spacing w:after="0" w:line="87"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The number of common shares in the column “Maximum Number of Class A Common Shares to Be Sold in This Offering” represents all of the common shares (or ADSs representing such shares) that the selling securityholder may offer under this prospectus. We have no assurance that the selling securityholder will sell any of the Class A common shares registered for sale hereunder. The selling securityholder may sell some, all or none of its common shares (or ADSs representing such shares). We do not know how long the selling securityholder will hold the common shares (or ADSs representing such shares) before selling them, and we currently have no agreements, arrangements or understandings with the selling securityholder regarding the sale or other disposition of any of the common shares (or ADSs representing such shares). In addition, the selling securityholder may have sold or transferred, in transactions exempt from the registration requirements of the Securities Act, some or all of the shares since the date on which the information in the table below is presented.</w:t>
      </w:r>
    </w:p>
    <w:p>
      <w:pPr>
        <w:spacing w:after="0" w:line="257"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The following table, to our knowledge, sets forth information regarding the beneficial ownership of our common shares of the selling securityholder as of the date of this prospectus. As of March 20, we have 79,467,902 common shares issued and outstanding, comprising (i) 62,467,713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 (ii) 17,000,189 Class B common shares.</w:t>
      </w:r>
    </w:p>
    <w:p>
      <w:pPr>
        <w:spacing w:after="0" w:line="118"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of Class A</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to</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 Sold in This</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 As A</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Owned As A</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As A</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to Be Sold</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0"/>
                <w:szCs w:val="10"/>
                <w:color w:val="auto"/>
              </w:rPr>
            </w:pPr>
          </w:p>
        </w:tc>
      </w:tr>
      <w:tr>
        <w:trPr>
          <w:trHeight w:val="126"/>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to the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Prior to</w:t>
            </w:r>
          </w:p>
        </w:tc>
        <w:tc>
          <w:tcPr>
            <w:tcW w:w="16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 This</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Prior to the</w:t>
            </w:r>
          </w:p>
        </w:tc>
        <w:tc>
          <w:tcPr>
            <w:tcW w:w="1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After the</w:t>
            </w:r>
          </w:p>
        </w:tc>
        <w:tc>
          <w:tcPr>
            <w:tcW w:w="1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After the</w:t>
            </w:r>
          </w:p>
        </w:tc>
        <w:tc>
          <w:tcPr>
            <w:tcW w:w="40" w:type="dxa"/>
            <w:vAlign w:val="bottom"/>
          </w:tcPr>
          <w:p>
            <w:pPr>
              <w:spacing w:after="0"/>
              <w:rPr>
                <w:sz w:val="10"/>
                <w:szCs w:val="10"/>
                <w:color w:val="auto"/>
              </w:rPr>
            </w:pPr>
          </w:p>
        </w:tc>
      </w:tr>
      <w:tr>
        <w:trPr>
          <w:trHeight w:val="167"/>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Selling securityholder</w:t>
            </w:r>
          </w:p>
        </w:tc>
        <w:tc>
          <w:tcPr>
            <w:tcW w:w="92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(1)(2)</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the Offering</w:t>
            </w:r>
            <w:r>
              <w:rPr>
                <w:rFonts w:ascii="Times New Roman" w:cs="Times New Roman" w:eastAsia="Times New Roman" w:hAnsi="Times New Roman"/>
                <w:sz w:val="14"/>
                <w:szCs w:val="14"/>
                <w:b w:val="1"/>
                <w:bCs w:val="1"/>
                <w:color w:val="auto"/>
                <w:w w:val="93"/>
                <w:vertAlign w:val="superscript"/>
              </w:rPr>
              <w:t>(1)</w:t>
            </w:r>
          </w:p>
        </w:tc>
        <w:tc>
          <w:tcPr>
            <w:tcW w:w="94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(1)(3)</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Offering</w:t>
            </w:r>
            <w:r>
              <w:rPr>
                <w:rFonts w:ascii="Times New Roman" w:cs="Times New Roman" w:eastAsia="Times New Roman" w:hAnsi="Times New Roman"/>
                <w:sz w:val="14"/>
                <w:szCs w:val="14"/>
                <w:b w:val="1"/>
                <w:bCs w:val="1"/>
                <w:color w:val="auto"/>
                <w:w w:val="90"/>
                <w:vertAlign w:val="superscript"/>
              </w:rPr>
              <w:t>(1)(3)</w:t>
            </w:r>
          </w:p>
        </w:tc>
        <w:tc>
          <w:tcPr>
            <w:tcW w:w="78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(1)(3)</w:t>
            </w:r>
          </w:p>
        </w:tc>
        <w:tc>
          <w:tcPr>
            <w:tcW w:w="86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(1)(3)</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p>
        </w:tc>
      </w:tr>
      <w:tr>
        <w:trPr>
          <w:trHeight w:val="20"/>
        </w:trPr>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PM Partners I LP</w:t>
            </w:r>
            <w:r>
              <w:rPr>
                <w:rFonts w:ascii="Times New Roman" w:cs="Times New Roman" w:eastAsia="Times New Roman" w:hAnsi="Times New Roman"/>
                <w:sz w:val="18"/>
                <w:szCs w:val="18"/>
                <w:color w:val="auto"/>
                <w:vertAlign w:val="superscript"/>
              </w:rPr>
              <w:t>(4)</w:t>
            </w:r>
          </w:p>
        </w:tc>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9,666,666 ​​ ​</w:t>
            </w:r>
          </w:p>
        </w:tc>
        <w:tc>
          <w:tcPr>
            <w:tcW w:w="7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10.8%</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9,666,666 ​​ ​</w:t>
            </w:r>
          </w:p>
        </w:tc>
        <w:tc>
          <w:tcPr>
            <w:tcW w:w="7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-146050</wp:posOffset>
            </wp:positionV>
            <wp:extent cx="1066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-146050</wp:posOffset>
            </wp:positionV>
            <wp:extent cx="1066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-146050</wp:posOffset>
            </wp:positionV>
            <wp:extent cx="1066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-146050</wp:posOffset>
            </wp:positionV>
            <wp:extent cx="1066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-146050</wp:posOffset>
            </wp:positionV>
            <wp:extent cx="1003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-146050</wp:posOffset>
            </wp:positionV>
            <wp:extent cx="933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93345</wp:posOffset>
            </wp:positionV>
            <wp:extent cx="9620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36" w:lineRule="exact"/>
        <w:rPr>
          <w:sz w:val="20"/>
          <w:szCs w:val="20"/>
          <w:color w:val="auto"/>
        </w:rPr>
      </w:pPr>
    </w:p>
    <w:p>
      <w:pPr>
        <w:ind w:left="1580" w:right="1339" w:hanging="275"/>
        <w:spacing w:after="0" w:line="272" w:lineRule="auto"/>
        <w:tabs>
          <w:tab w:leader="none" w:pos="15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Beneficial ownership is determined in accordance with the rules and regulations of the SEC and includes voting or investment power with respect to our common shares.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In computing the number of common shares beneficially owned by the selling securityholder and the percentage ownership of the selling securityholder, we deemed all Class A common shares issuable upon the exercise of the Warrant as beneficially owned by the selling securityholder because the Warrant is exercisable within 60 days of March 20.</w:t>
      </w:r>
    </w:p>
    <w:p>
      <w:pPr>
        <w:spacing w:after="0" w:line="38" w:lineRule="exact"/>
        <w:rPr>
          <w:rFonts w:ascii="Times New Roman" w:cs="Times New Roman" w:eastAsia="Times New Roman" w:hAnsi="Times New Roman"/>
          <w:sz w:val="11"/>
          <w:szCs w:val="11"/>
          <w:color w:val="auto"/>
        </w:rPr>
      </w:pPr>
    </w:p>
    <w:p>
      <w:pPr>
        <w:ind w:left="1580" w:hanging="275"/>
        <w:spacing w:after="0"/>
        <w:tabs>
          <w:tab w:leader="none" w:pos="15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“Offering” in this table refers to offering of Class A common shares by the selling securityholder pursuant to this prospectus.</w:t>
      </w:r>
    </w:p>
    <w:p>
      <w:pPr>
        <w:spacing w:after="0" w:line="62" w:lineRule="exact"/>
        <w:rPr>
          <w:rFonts w:ascii="Times New Roman" w:cs="Times New Roman" w:eastAsia="Times New Roman" w:hAnsi="Times New Roman"/>
          <w:sz w:val="11"/>
          <w:szCs w:val="11"/>
          <w:color w:val="auto"/>
        </w:rPr>
      </w:pPr>
    </w:p>
    <w:p>
      <w:pPr>
        <w:ind w:left="1580" w:right="1399" w:hanging="275"/>
        <w:spacing w:after="0" w:line="278" w:lineRule="auto"/>
        <w:tabs>
          <w:tab w:leader="none" w:pos="15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selling securityholder might not sell any or all of the common shares offered by this prospectus and as a result, we cannot estimate the number of common shares that will be held by the selling securityholder after completion of the offering. However, for purposes of this table, we have assumed that, all of the common shares covered by this prospectus will be sold by the selling securityholder after completion of the offering.</w:t>
      </w:r>
    </w:p>
    <w:p>
      <w:pPr>
        <w:spacing w:after="0" w:line="24" w:lineRule="exact"/>
        <w:rPr>
          <w:rFonts w:ascii="Times New Roman" w:cs="Times New Roman" w:eastAsia="Times New Roman" w:hAnsi="Times New Roman"/>
          <w:sz w:val="11"/>
          <w:szCs w:val="11"/>
          <w:color w:val="auto"/>
        </w:rPr>
      </w:pPr>
    </w:p>
    <w:p>
      <w:pPr>
        <w:ind w:left="1580" w:right="1359" w:hanging="275"/>
        <w:spacing w:after="0" w:line="278" w:lineRule="auto"/>
        <w:tabs>
          <w:tab w:leader="none" w:pos="15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9,666,666 Class A common shares underlying the Warrant. The Warrant is directly held by PM Partners I LP, a limited partnership registered under the laws of the British Virgin Islands, with registration number 2451 and its registered office at Jayla Place, 2nd Floor, Road Town, Tortola, British Virgin Islands and may be deemed to be beneficially owned by PAG. The registered address of PAG is c/o International Corporation Services Ltd, P.O. Box 472, 2nd Floor, Harbour Place, North Wing, 103 South Church Street, George Town, Grand Cayman KY1-1106, Cayman Islands.</w:t>
      </w:r>
    </w:p>
    <w:p>
      <w:pPr>
        <w:spacing w:after="0" w:line="80" w:lineRule="exact"/>
        <w:rPr>
          <w:sz w:val="20"/>
          <w:szCs w:val="20"/>
          <w:color w:val="auto"/>
        </w:rPr>
      </w:pPr>
    </w:p>
    <w:p>
      <w:pPr>
        <w:ind w:left="1300" w:right="1559" w:firstLine="281"/>
        <w:spacing w:after="0" w:line="251" w:lineRule="auto"/>
        <w:rPr>
          <w:sz w:val="20"/>
          <w:szCs w:val="20"/>
          <w:color w:val="auto"/>
        </w:rPr>
      </w:pPr>
      <w:r>
        <w:rPr>
          <w:rFonts w:ascii="Times New Roman" w:cs="Times New Roman" w:eastAsia="Times New Roman" w:hAnsi="Times New Roman"/>
          <w:sz w:val="14"/>
          <w:szCs w:val="14"/>
          <w:color w:val="auto"/>
        </w:rPr>
        <w:t>Except as otherwise disclosed in the footnotes to the table above and as described below, the selling securityholder does not have, and within the past three years has not had, any position, office or other material relationship with us.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color w:val="auto"/>
        </w:rPr>
        <w:t>On February 11, 2026, we issued the Warrant to PM Partners I LP. Pursuant to the terms of the Warrant, the warrantholder has the right to purchase up to 9,666,666 Class A common shares at an initial exercise price of US$1.035 per common share, subject to adjustments. On February 11, 2026, we entered into agreements with PM Partners I LP’s affiliates to provide data analytics service for service fees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color w:val="auto"/>
        </w:rPr>
        <w:t>The selling securityholder, which shall include its pledgees, donees, transferees, assignees and successors selling Class A common shares (including as represented by ADSs) or interests in such securities received after the date of this prospectus from a selling securityholder as a gift, pledge, partnership distribution or other transfer, may, from time to time, sell, transfer or otherwise dispose of any or all of their Class A common shares (including as represented by ADSs) or interests therein on any stock exchange, market or trading facility on which the Class A common shares or ADSs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selling securityholder may use any one or more of the following methods when disposing of</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common shares (including as represented by ADSs) or interests therein:</w:t>
      </w:r>
    </w:p>
    <w:p>
      <w:pPr>
        <w:spacing w:after="0" w:line="65" w:lineRule="exact"/>
        <w:rPr>
          <w:sz w:val="20"/>
          <w:szCs w:val="20"/>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Class A common shares or ADSs as agent, but may position and resell a portion of the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as principal to facilitate the transaction;</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own account;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1"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the registration statement of which this prospectus is a part is declared effective by the SEC;</w:t>
      </w:r>
    </w:p>
    <w:p>
      <w:pPr>
        <w:spacing w:after="0" w:line="4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agreements between broker-dealers and the selling securityholder to sell a specified number of Class A common shares or ADSs at a stipulated price per share or per ADS;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laws.</w:t>
      </w:r>
    </w:p>
    <w:p>
      <w:pPr>
        <w:spacing w:after="0" w:line="113"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The selling securityholder may, from time to time, pledge or grant a security interest in some or all of the Class A common shares or ADSs owned by it and, if it defaults in the performance of its secured obligations, the pledgees or secured parties may offer and sell the Class A common shares or ADSs, from time to time, under this prospectus, or under an amendment to this prospectus under Rule 424(b) or other applicable provision of the Securities Act amending the list of selling securityholders to include the pledgee, transferee or other successors in interest as selling securityholders under this prospectus. The selling securityholder also may transfer the Class A common shares or ADSs in other circumstances, in which case the pledgees, transferees or other successors in interest will be the selling beneficial owners for purposes of this prospectus.</w:t>
      </w:r>
    </w:p>
    <w:p>
      <w:pPr>
        <w:spacing w:after="0" w:line="253"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In addition, a selling securityholder that is an entity may elect to make a pro rata in -kind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In connection with the sale of our Class A common shares or ADSs or interests therein, the selling</w:t>
      </w:r>
    </w:p>
    <w:p>
      <w:pPr>
        <w:spacing w:after="0" w:line="13" w:lineRule="exact"/>
        <w:rPr>
          <w:sz w:val="20"/>
          <w:szCs w:val="20"/>
          <w:color w:val="auto"/>
        </w:rPr>
      </w:pPr>
    </w:p>
    <w:p>
      <w:pPr>
        <w:ind w:left="1300" w:right="1379"/>
        <w:spacing w:after="0" w:line="243" w:lineRule="auto"/>
        <w:rPr>
          <w:sz w:val="20"/>
          <w:szCs w:val="20"/>
          <w:color w:val="auto"/>
        </w:rPr>
      </w:pPr>
      <w:r>
        <w:rPr>
          <w:rFonts w:ascii="Times New Roman" w:cs="Times New Roman" w:eastAsia="Times New Roman" w:hAnsi="Times New Roman"/>
          <w:sz w:val="14"/>
          <w:szCs w:val="14"/>
          <w:color w:val="auto"/>
        </w:rPr>
        <w:t>securityholder may enter into hedging transactions with broker-dealers or other financial institutions, which may in turn engage in short sales of the Class A common shares or ADSs in the course of hedging the positions they assume. The selling securityholder may also sell Class A common shares or ADSs short and deliver these securities to close out their short positions, or loan or pledge the Class A common shares or</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57" w:lineRule="auto"/>
        <w:rPr>
          <w:sz w:val="20"/>
          <w:szCs w:val="20"/>
          <w:color w:val="auto"/>
        </w:rPr>
      </w:pPr>
      <w:r>
        <w:rPr>
          <w:rFonts w:ascii="Times New Roman" w:cs="Times New Roman" w:eastAsia="Times New Roman" w:hAnsi="Times New Roman"/>
          <w:sz w:val="14"/>
          <w:szCs w:val="14"/>
          <w:color w:val="auto"/>
        </w:rPr>
        <w:t>ADSs to broker-dealers that in turn may sell these securities. The selling securityholder may also enter into options or other transactions with broker-dealers or other financial institutions or the creation of one or more derivative securities which require the delivery to each such broker-dealer or other financial institution of Class A common shares or ADSs offered by this prospectus, which Class A common shares or ADSs such broker-dealer or other financial institution may resell pursuant to this prospectus (as supplemented or amended to reflect such transaction).</w:t>
      </w:r>
    </w:p>
    <w:p>
      <w:pPr>
        <w:spacing w:after="0" w:line="92"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color w:val="auto"/>
        </w:rPr>
        <w:t>The aggregate proceeds to the selling securityholder from the sale of the Class A common shares or ADSs offered by them will be the purchase price of the Class A common shares or ADSs less discounts or commissions, if any. The selling securityholder reserves the right to accept and, together with its agents from time to time, to reject, in whole or in part, any proposed purchase of Class A common shares or ADSs to be made directly or through agents. We will not receive any of the proceeds from this offering. The selling securityholder also may resell all or a portion of the Class A common shares or ADSs in open market transactions in reliance upon Rule 144 under the Securities Act of 1933, provided that they meet the criteria and conform to the requirements of that rule.</w:t>
      </w:r>
    </w:p>
    <w:p>
      <w:pPr>
        <w:spacing w:after="0" w:line="94" w:lineRule="exact"/>
        <w:rPr>
          <w:sz w:val="20"/>
          <w:szCs w:val="20"/>
          <w:color w:val="auto"/>
        </w:rPr>
      </w:pPr>
    </w:p>
    <w:p>
      <w:pPr>
        <w:ind w:left="1300" w:right="1399" w:firstLine="281"/>
        <w:spacing w:after="0" w:line="257" w:lineRule="auto"/>
        <w:rPr>
          <w:sz w:val="20"/>
          <w:szCs w:val="20"/>
          <w:color w:val="auto"/>
        </w:rPr>
      </w:pPr>
      <w:r>
        <w:rPr>
          <w:rFonts w:ascii="Times New Roman" w:cs="Times New Roman" w:eastAsia="Times New Roman" w:hAnsi="Times New Roman"/>
          <w:sz w:val="14"/>
          <w:szCs w:val="14"/>
          <w:color w:val="auto"/>
        </w:rPr>
        <w:t>The selling securityholder and any underwriters, broker-dealers or agents that participate in the sale of the Class A common shares or ADSs or interests therein may be “underwriters” within the meaning of Section 2(11) of the Securities Act. Any discounts, commissions, concessions or profit they earn on any resale of the Class A common shares or ADSs may be underwriting discounts and commissions under the Securities Act. The selling securityholder who is an “underwriter” within the meaning of Section 2(11) of the Securities Act will be subject to the prospectus delivery requirements of the Securities Act.</w:t>
      </w:r>
    </w:p>
    <w:p>
      <w:pPr>
        <w:spacing w:after="0" w:line="81"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To the extent required, the Class A common shares or ADSs to be sold, the names of the selling securityholder,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In order to comply with the securities laws of some states, if applicable, the Class A common shares or ADSs may be sold in these jurisdictions only through registered or licensed brokers or dealers. In addition, in some states the Class A common shares or ADSs may not be sold unless it has been registered or qualified for sale or an exemption from registration or qualification requirements is available and is complied with.</w:t>
      </w:r>
    </w:p>
    <w:p>
      <w:pPr>
        <w:spacing w:after="0" w:line="91"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We have advised the selling securityholder that the anti-manipulation rules of Regulation M under the Exchange Act may apply to sales of Class A common shares or ADSs in the market and to the activities of the selling securityholder and its affiliates. In addition, to the extent applicable we will make copies of this prospectus (as it may be supplemented or amended from time to time) available to the selling securityholder for the purpose of satisfying the prospectus delivery requirements of the Securities Act. The selling securityholder may indemnify any broker-dealer that participates in transactions involving the sale of the Class A common shares or ADSs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following table sets forth our capitalization as of December 31, 2025:</w:t>
      </w:r>
    </w:p>
    <w:p>
      <w:pPr>
        <w:spacing w:after="0" w:line="92" w:lineRule="exact"/>
        <w:rPr>
          <w:sz w:val="20"/>
          <w:szCs w:val="20"/>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91" w:lineRule="exact"/>
        <w:rPr>
          <w:rFonts w:ascii="Times New Roman" w:cs="Times New Roman" w:eastAsia="Times New Roman" w:hAnsi="Times New Roman"/>
          <w:sz w:val="14"/>
          <w:szCs w:val="14"/>
          <w:color w:val="auto"/>
        </w:rPr>
      </w:pPr>
    </w:p>
    <w:p>
      <w:pPr>
        <w:ind w:left="1720" w:right="1419" w:hanging="134"/>
        <w:spacing w:after="0" w:line="267"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reflect the issuance of 9,666,666 Class A common shares, represented by 725,000 ADSs, for gross proceeds of approximately US$10.0 million, assuming the Warrant is fully exercised.</w:t>
      </w:r>
    </w:p>
    <w:p>
      <w:pPr>
        <w:spacing w:after="0" w:line="84" w:lineRule="exact"/>
        <w:rPr>
          <w:sz w:val="20"/>
          <w:szCs w:val="20"/>
          <w:color w:val="auto"/>
        </w:rPr>
      </w:pPr>
    </w:p>
    <w:p>
      <w:pPr>
        <w:jc w:val="both"/>
        <w:ind w:left="1300" w:right="1759" w:firstLine="281"/>
        <w:spacing w:after="0" w:line="267" w:lineRule="auto"/>
        <w:rPr>
          <w:sz w:val="20"/>
          <w:szCs w:val="20"/>
          <w:color w:val="auto"/>
        </w:rPr>
      </w:pPr>
      <w:r>
        <w:rPr>
          <w:rFonts w:ascii="Times New Roman" w:cs="Times New Roman" w:eastAsia="Times New Roman" w:hAnsi="Times New Roman"/>
          <w:sz w:val="14"/>
          <w:szCs w:val="14"/>
          <w:color w:val="auto"/>
        </w:rPr>
        <w:t>This table should be read in conjunction with, and is qualified in its entirety by reference to, our audited consolidated financial statements and the related notes, and other information and documents included in or incorporated by reference into this prospectus (as supplemented or amended).</w:t>
      </w:r>
    </w:p>
    <w:p>
      <w:pPr>
        <w:spacing w:after="0" w:line="89"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40" w:type="dxa"/>
            <w:vAlign w:val="bottom"/>
          </w:tcPr>
          <w:p>
            <w:pPr>
              <w:ind w:left="1800"/>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40" w:type="dxa"/>
            <w:vAlign w:val="bottom"/>
          </w:tcPr>
          <w:p>
            <w:pPr>
              <w:ind w:left="1840"/>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400" w:type="dxa"/>
            <w:vAlign w:val="bottom"/>
            <w:tcBorders>
              <w:bottom w:val="single" w:sz="8" w:color="auto"/>
            </w:tcBorders>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80" w:type="dxa"/>
            <w:vAlign w:val="bottom"/>
            <w:gridSpan w:val="2"/>
          </w:tcPr>
          <w:p>
            <w:pPr>
              <w:ind w:left="184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RMB</w:t>
            </w:r>
          </w:p>
        </w:tc>
        <w:tc>
          <w:tcPr>
            <w:tcW w:w="4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 ​</w:t>
            </w:r>
          </w:p>
        </w:tc>
        <w:tc>
          <w:tcPr>
            <w:tcW w:w="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0"/>
                <w:szCs w:val="10"/>
                <w:b w:val="1"/>
                <w:bCs w:val="1"/>
                <w:color w:val="auto"/>
              </w:rPr>
              <w:t xml:space="preserve">US$   </w:t>
            </w:r>
            <w:r>
              <w:rPr>
                <w:rFonts w:ascii="Times New Roman" w:cs="Times New Roman" w:eastAsia="Times New Roman" w:hAnsi="Times New Roman"/>
                <w:sz w:val="20"/>
                <w:szCs w:val="20"/>
                <w:b w:val="1"/>
                <w:bCs w:val="1"/>
                <w:color w:val="auto"/>
                <w:vertAlign w:val="subscript"/>
              </w:rPr>
              <w:t>​ ​</w:t>
            </w:r>
          </w:p>
        </w:tc>
        <w:tc>
          <w:tcPr>
            <w:tcW w:w="1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0"/>
                <w:szCs w:val="10"/>
                <w:b w:val="1"/>
                <w:bCs w:val="1"/>
                <w:color w:val="auto"/>
              </w:rPr>
              <w:t xml:space="preserve">RMB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US$</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2"/>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40" w:type="dxa"/>
            <w:vAlign w:val="bottom"/>
          </w:tcPr>
          <w:p>
            <w:pPr>
              <w:ind w:left="1800"/>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wp:posOffset>
            </wp:positionV>
            <wp:extent cx="4062095" cy="127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2095" cy="127000"/>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-127635</wp:posOffset>
            </wp:positionV>
            <wp:extent cx="933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-127635</wp:posOffset>
            </wp:positionV>
            <wp:extent cx="933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-127635</wp:posOffset>
            </wp:positionV>
            <wp:extent cx="933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34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30" w:lineRule="exact"/>
        <w:rPr>
          <w:sz w:val="20"/>
          <w:szCs w:val="20"/>
          <w:color w:val="auto"/>
        </w:rPr>
      </w:pPr>
    </w:p>
    <w:p>
      <w:pPr>
        <w:ind w:left="1440" w:hanging="139"/>
        <w:spacing w:after="0" w:line="266" w:lineRule="auto"/>
        <w:rPr>
          <w:sz w:val="20"/>
          <w:szCs w:val="20"/>
          <w:color w:val="auto"/>
        </w:rPr>
      </w:pPr>
      <w:r>
        <w:rPr>
          <w:rFonts w:ascii="Times New Roman" w:cs="Times New Roman" w:eastAsia="Times New Roman" w:hAnsi="Times New Roman"/>
          <w:sz w:val="14"/>
          <w:szCs w:val="14"/>
          <w:color w:val="auto"/>
        </w:rPr>
        <w:t>Class A common shares (par value of US$0.0001 per share; 4,920,000,000 shares authorized, 62,971,166 shares issued and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-2540</wp:posOffset>
            </wp:positionV>
            <wp:extent cx="4062095" cy="340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2095" cy="340995"/>
                    </a:xfrm>
                    <a:prstGeom prst="rect">
                      <a:avLst/>
                    </a:prstGeom>
                    <a:noFill/>
                  </pic:spPr>
                </pic:pic>
              </a:graphicData>
            </a:graphic>
          </wp:anchor>
        </w:drawing>
      </w:r>
    </w:p>
    <w:p>
      <w:pPr>
        <w:ind w:left="1440" w:right="100" w:hanging="139"/>
        <w:spacing w:after="0" w:line="266" w:lineRule="auto"/>
        <w:rPr>
          <w:sz w:val="20"/>
          <w:szCs w:val="20"/>
          <w:color w:val="auto"/>
        </w:rPr>
      </w:pPr>
      <w:r>
        <w:rPr>
          <w:rFonts w:ascii="Times New Roman" w:cs="Times New Roman" w:eastAsia="Times New Roman" w:hAnsi="Times New Roman"/>
          <w:sz w:val="14"/>
          <w:szCs w:val="14"/>
          <w:color w:val="auto"/>
        </w:rPr>
        <w:t>Class B common shares (par value of US$0.0001 per share; 30,000,000 shares authorized, 17,000,189 shares issued and outstanding as of December 31, 2025)</w:t>
      </w:r>
    </w:p>
    <w:p>
      <w:pPr>
        <w:spacing w:after="0" w:line="1" w:lineRule="exact"/>
        <w:rPr>
          <w:sz w:val="20"/>
          <w:szCs w:val="20"/>
          <w:color w:val="auto"/>
        </w:rPr>
      </w:pPr>
    </w:p>
    <w:p>
      <w:pPr>
        <w:ind w:left="1440" w:right="260" w:hanging="139"/>
        <w:spacing w:after="0" w:line="283" w:lineRule="auto"/>
        <w:rPr>
          <w:sz w:val="20"/>
          <w:szCs w:val="20"/>
          <w:color w:val="auto"/>
        </w:rPr>
      </w:pPr>
      <w:r>
        <w:rPr>
          <w:rFonts w:ascii="Times New Roman" w:cs="Times New Roman" w:eastAsia="Times New Roman" w:hAnsi="Times New Roman"/>
          <w:sz w:val="14"/>
          <w:szCs w:val="14"/>
          <w:color w:val="auto"/>
        </w:rPr>
        <w:t>Treasury shares (1,415,422 class A common shares as of December 31, 2025)</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 ​</w:t>
            </w:r>
            <w:r>
              <w:rPr>
                <w:rFonts w:ascii="Times New Roman" w:cs="Times New Roman" w:eastAsia="Times New Roman" w:hAnsi="Times New Roman"/>
                <w:sz w:val="14"/>
                <w:szCs w:val="14"/>
                <w:b w:val="1"/>
                <w:bCs w:val="1"/>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47​​ ​</w:t>
            </w: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53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b w:val="1"/>
                <w:bCs w:val="1"/>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(6,430​​) ​</w:t>
            </w:r>
            <w:r>
              <w:rPr>
                <w:rFonts w:ascii="Times New Roman" w:cs="Times New Roman" w:eastAsia="Times New Roman" w:hAnsi="Times New Roman"/>
                <w:sz w:val="14"/>
                <w:szCs w:val="14"/>
                <w:b w:val="1"/>
                <w:bCs w:val="1"/>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(919​​) ​</w:t>
            </w:r>
            <w:r>
              <w:rPr>
                <w:rFonts w:ascii="Times New Roman" w:cs="Times New Roman" w:eastAsia="Times New Roman" w:hAnsi="Times New Roman"/>
                <w:sz w:val="14"/>
                <w:szCs w:val="14"/>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(6,430​​) ​</w:t>
            </w: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r>
    </w:tbl>
    <w:p>
      <w:pPr>
        <w:spacing w:after="0" w:line="19" w:lineRule="exact"/>
        <w:rPr>
          <w:sz w:val="20"/>
          <w:szCs w:val="20"/>
          <w:color w:val="auto"/>
        </w:rPr>
      </w:pPr>
    </w:p>
    <w:p>
      <w:pPr>
        <w:sectPr>
          <w:pgSz w:w="11900" w:h="16838" w:orient="portrait"/>
          <w:cols w:equalWidth="0" w:num="2">
            <w:col w:w="4900" w:space="80"/>
            <w:col w:w="4039"/>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18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​​1,049,029​​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​150,009​​ ​</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​1,118,988​​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​160,013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6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4"/>
                <w:szCs w:val="14"/>
                <w:color w:val="auto"/>
                <w:w w:val="98"/>
              </w:rPr>
              <w:t>(995,292)</w:t>
            </w:r>
          </w:p>
        </w:tc>
        <w:tc>
          <w:tcPr>
            <w:tcW w:w="66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​(142,325)</w:t>
            </w:r>
          </w:p>
        </w:tc>
        <w:tc>
          <w:tcPr>
            <w:tcW w:w="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4"/>
                <w:szCs w:val="14"/>
                <w:color w:val="auto"/>
                <w:w w:val="98"/>
              </w:rPr>
              <w:t>(995,292)</w:t>
            </w:r>
          </w:p>
        </w:tc>
        <w:tc>
          <w:tcPr>
            <w:tcW w:w="5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w w:val="94"/>
              </w:rPr>
              <w:t>​(142,325)</w:t>
            </w:r>
          </w:p>
        </w:tc>
        <w:tc>
          <w:tcPr>
            <w:tcW w:w="0" w:type="dxa"/>
            <w:vAlign w:val="bottom"/>
          </w:tcPr>
          <w:p>
            <w:pPr>
              <w:spacing w:after="0"/>
              <w:rPr>
                <w:sz w:val="1"/>
                <w:szCs w:val="1"/>
                <w:color w:val="auto"/>
              </w:rPr>
            </w:pPr>
          </w:p>
        </w:tc>
      </w:tr>
      <w:tr>
        <w:trPr>
          <w:trHeight w:val="42"/>
        </w:trPr>
        <w:tc>
          <w:tcPr>
            <w:tcW w:w="36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jc w:val="right"/>
              <w:spacing w:after="0" w:line="42"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jc w:val="right"/>
              <w:spacing w:after="0" w:line="42" w:lineRule="exact"/>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jc w:val="right"/>
              <w:spacing w:after="0" w:line="42"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jc w:val="right"/>
              <w:spacing w:after="0" w:line="42"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Borders>
              <w:right w:val="single" w:sz="8" w:color="CCEEFF"/>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68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18,440</w:t>
            </w:r>
            <w:r>
              <w:rPr>
                <w:rFonts w:ascii="Times New Roman" w:cs="Times New Roman" w:eastAsia="Times New Roman" w:hAnsi="Times New Roman"/>
                <w:sz w:val="24"/>
                <w:szCs w:val="24"/>
                <w:color w:val="auto"/>
                <w:vertAlign w:val="subscript"/>
              </w:rPr>
              <w:t>​​ ​</w:t>
            </w:r>
          </w:p>
        </w:tc>
        <w:tc>
          <w:tcPr>
            <w:tcW w:w="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58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2,637</w:t>
            </w:r>
            <w:r>
              <w:rPr>
                <w:rFonts w:ascii="Times New Roman" w:cs="Times New Roman" w:eastAsia="Times New Roman" w:hAnsi="Times New Roman"/>
                <w:sz w:val="24"/>
                <w:szCs w:val="24"/>
                <w:color w:val="auto"/>
                <w:vertAlign w:val="subscript"/>
              </w:rPr>
              <w:t>​​ ​</w:t>
            </w:r>
          </w:p>
        </w:tc>
        <w:tc>
          <w:tcPr>
            <w:tcW w:w="4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680" w:type="dxa"/>
            <w:vAlign w:val="bottom"/>
            <w:tcBorders>
              <w:right w:val="single" w:sz="8" w:color="CCEEFF"/>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18,440</w:t>
            </w:r>
            <w:r>
              <w:rPr>
                <w:rFonts w:ascii="Times New Roman" w:cs="Times New Roman" w:eastAsia="Times New Roman" w:hAnsi="Times New Roman"/>
                <w:sz w:val="24"/>
                <w:szCs w:val="24"/>
                <w:color w:val="auto"/>
                <w:vertAlign w:val="subscript"/>
              </w:rPr>
              <w:t>​​ ​</w:t>
            </w:r>
          </w:p>
        </w:tc>
        <w:tc>
          <w:tcPr>
            <w:tcW w:w="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Aurora Mobile Limited’s shareholders’ equity</w:t>
            </w:r>
          </w:p>
        </w:tc>
        <w:tc>
          <w:tcPr>
            <w:tcW w:w="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23"/>
                <w:szCs w:val="23"/>
                <w:b w:val="1"/>
                <w:bCs w:val="1"/>
                <w:color w:val="auto"/>
                <w:vertAlign w:val="superscript"/>
              </w:rPr>
              <w:t>​</w:t>
            </w:r>
          </w:p>
        </w:tc>
        <w:tc>
          <w:tcPr>
            <w:tcW w:w="6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65,798</w:t>
            </w:r>
            <w:r>
              <w:rPr>
                <w:rFonts w:ascii="Times New Roman" w:cs="Times New Roman" w:eastAsia="Times New Roman" w:hAnsi="Times New Roman"/>
                <w:sz w:val="23"/>
                <w:szCs w:val="23"/>
                <w:b w:val="1"/>
                <w:bCs w:val="1"/>
                <w:color w:val="auto"/>
                <w:vertAlign w:val="subscript"/>
              </w:rPr>
              <w:t>​​ ​</w:t>
            </w:r>
          </w:p>
        </w:tc>
        <w:tc>
          <w:tcPr>
            <w:tcW w:w="8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9,409</w:t>
            </w:r>
            <w:r>
              <w:rPr>
                <w:rFonts w:ascii="Times New Roman" w:cs="Times New Roman" w:eastAsia="Times New Roman" w:hAnsi="Times New Roman"/>
                <w:sz w:val="23"/>
                <w:szCs w:val="23"/>
                <w:b w:val="1"/>
                <w:bCs w:val="1"/>
                <w:color w:val="auto"/>
                <w:vertAlign w:val="subscript"/>
              </w:rPr>
              <w:t>​​ ​</w:t>
            </w:r>
          </w:p>
        </w:tc>
        <w:tc>
          <w:tcPr>
            <w:tcW w:w="4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135,764</w:t>
            </w:r>
            <w:r>
              <w:rPr>
                <w:rFonts w:ascii="Times New Roman" w:cs="Times New Roman" w:eastAsia="Times New Roman" w:hAnsi="Times New Roman"/>
                <w:sz w:val="23"/>
                <w:szCs w:val="23"/>
                <w:b w:val="1"/>
                <w:bCs w:val="1"/>
                <w:color w:val="auto"/>
                <w:vertAlign w:val="subscript"/>
              </w:rPr>
              <w:t>​​ ​</w:t>
            </w:r>
          </w:p>
        </w:tc>
        <w:tc>
          <w:tcPr>
            <w:tcW w:w="8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19,414</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right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3"/>
                <w:szCs w:val="23"/>
                <w:color w:val="auto"/>
                <w:vertAlign w:val="superscript"/>
              </w:rPr>
              <w:t>​</w:t>
            </w:r>
          </w:p>
        </w:tc>
        <w:tc>
          <w:tcPr>
            <w:tcW w:w="6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2"/>
                <w:szCs w:val="12"/>
                <w:color w:val="auto"/>
              </w:rPr>
              <w:t>33,627</w:t>
            </w:r>
            <w:r>
              <w:rPr>
                <w:rFonts w:ascii="Times New Roman" w:cs="Times New Roman" w:eastAsia="Times New Roman" w:hAnsi="Times New Roman"/>
                <w:sz w:val="23"/>
                <w:szCs w:val="23"/>
                <w:color w:val="auto"/>
                <w:vertAlign w:val="subscript"/>
              </w:rPr>
              <w:t>​​ ​</w:t>
            </w:r>
          </w:p>
        </w:tc>
        <w:tc>
          <w:tcPr>
            <w:tcW w:w="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perscript"/>
              </w:rPr>
              <w:t>​</w:t>
            </w:r>
          </w:p>
        </w:tc>
        <w:tc>
          <w:tcPr>
            <w:tcW w:w="58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2"/>
                <w:szCs w:val="12"/>
                <w:color w:val="auto"/>
              </w:rPr>
              <w:t>4,809</w:t>
            </w:r>
            <w:r>
              <w:rPr>
                <w:rFonts w:ascii="Times New Roman" w:cs="Times New Roman" w:eastAsia="Times New Roman" w:hAnsi="Times New Roman"/>
                <w:sz w:val="23"/>
                <w:szCs w:val="23"/>
                <w:color w:val="auto"/>
                <w:vertAlign w:val="subscript"/>
              </w:rPr>
              <w:t>​​ ​</w:t>
            </w:r>
          </w:p>
        </w:tc>
        <w:tc>
          <w:tcPr>
            <w:tcW w:w="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perscript"/>
              </w:rPr>
              <w:t>​</w:t>
            </w:r>
          </w:p>
        </w:tc>
        <w:tc>
          <w:tcPr>
            <w:tcW w:w="680" w:type="dxa"/>
            <w:vAlign w:val="bottom"/>
            <w:tcBorders>
              <w:right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2"/>
                <w:szCs w:val="12"/>
                <w:color w:val="auto"/>
              </w:rPr>
              <w:t>33,627</w:t>
            </w:r>
            <w:r>
              <w:rPr>
                <w:rFonts w:ascii="Times New Roman" w:cs="Times New Roman" w:eastAsia="Times New Roman" w:hAnsi="Times New Roman"/>
                <w:sz w:val="23"/>
                <w:szCs w:val="23"/>
                <w:color w:val="auto"/>
                <w:vertAlign w:val="subscript"/>
              </w:rPr>
              <w:t>​​ ​</w:t>
            </w:r>
          </w:p>
        </w:tc>
        <w:tc>
          <w:tcPr>
            <w:tcW w:w="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23"/>
                <w:szCs w:val="23"/>
                <w:b w:val="1"/>
                <w:bCs w:val="1"/>
                <w:color w:val="auto"/>
                <w:vertAlign w:val="superscript"/>
              </w:rPr>
              <w:t>​</w:t>
            </w:r>
          </w:p>
        </w:tc>
        <w:tc>
          <w:tcPr>
            <w:tcW w:w="6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99,425</w:t>
            </w:r>
            <w:r>
              <w:rPr>
                <w:rFonts w:ascii="Times New Roman" w:cs="Times New Roman" w:eastAsia="Times New Roman" w:hAnsi="Times New Roman"/>
                <w:sz w:val="23"/>
                <w:szCs w:val="23"/>
                <w:b w:val="1"/>
                <w:bCs w:val="1"/>
                <w:color w:val="auto"/>
                <w:vertAlign w:val="subscript"/>
              </w:rPr>
              <w:t>​​ ​</w:t>
            </w:r>
          </w:p>
        </w:tc>
        <w:tc>
          <w:tcPr>
            <w:tcW w:w="8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14,218</w:t>
            </w:r>
            <w:r>
              <w:rPr>
                <w:rFonts w:ascii="Times New Roman" w:cs="Times New Roman" w:eastAsia="Times New Roman" w:hAnsi="Times New Roman"/>
                <w:sz w:val="23"/>
                <w:szCs w:val="23"/>
                <w:b w:val="1"/>
                <w:bCs w:val="1"/>
                <w:color w:val="auto"/>
                <w:vertAlign w:val="subscript"/>
              </w:rPr>
              <w:t>​​ ​</w:t>
            </w:r>
          </w:p>
        </w:tc>
        <w:tc>
          <w:tcPr>
            <w:tcW w:w="4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169,391</w:t>
            </w:r>
            <w:r>
              <w:rPr>
                <w:rFonts w:ascii="Times New Roman" w:cs="Times New Roman" w:eastAsia="Times New Roman" w:hAnsi="Times New Roman"/>
                <w:sz w:val="23"/>
                <w:szCs w:val="23"/>
                <w:b w:val="1"/>
                <w:bCs w:val="1"/>
                <w:color w:val="auto"/>
                <w:vertAlign w:val="subscript"/>
              </w:rPr>
              <w:t>​​ ​</w:t>
            </w:r>
          </w:p>
        </w:tc>
        <w:tc>
          <w:tcPr>
            <w:tcW w:w="80" w:type="dxa"/>
            <w:vAlign w:val="bottom"/>
          </w:tcPr>
          <w:p>
            <w:pPr>
              <w:spacing w:after="0" w:line="201"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b w:val="1"/>
                <w:bCs w:val="1"/>
                <w:color w:val="auto"/>
              </w:rPr>
              <w:t>24,223</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capitalization</w:t>
            </w:r>
          </w:p>
        </w:tc>
        <w:tc>
          <w:tcPr>
            <w:tcW w:w="200" w:type="dxa"/>
            <w:vAlign w:val="bottom"/>
            <w:tcBorders>
              <w:right w:val="single" w:sz="8" w:color="CCEEFF"/>
            </w:tcBorders>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22"/>
                <w:szCs w:val="22"/>
                <w:b w:val="1"/>
                <w:bCs w:val="1"/>
                <w:color w:val="auto"/>
                <w:vertAlign w:val="superscript"/>
              </w:rPr>
              <w:t>​</w:t>
            </w:r>
          </w:p>
        </w:tc>
        <w:tc>
          <w:tcPr>
            <w:tcW w:w="68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2"/>
                <w:szCs w:val="12"/>
                <w:b w:val="1"/>
                <w:bCs w:val="1"/>
                <w:color w:val="auto"/>
              </w:rPr>
              <w:t>99,425</w:t>
            </w:r>
            <w:r>
              <w:rPr>
                <w:rFonts w:ascii="Times New Roman" w:cs="Times New Roman" w:eastAsia="Times New Roman" w:hAnsi="Times New Roman"/>
                <w:sz w:val="22"/>
                <w:szCs w:val="22"/>
                <w:b w:val="1"/>
                <w:bCs w:val="1"/>
                <w:color w:val="auto"/>
                <w:vertAlign w:val="subscript"/>
              </w:rPr>
              <w:t>​​ ​</w:t>
            </w:r>
          </w:p>
        </w:tc>
        <w:tc>
          <w:tcPr>
            <w:tcW w:w="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2"/>
                <w:szCs w:val="22"/>
                <w:b w:val="1"/>
                <w:bCs w:val="1"/>
                <w:color w:val="auto"/>
                <w:vertAlign w:val="superscript"/>
              </w:rPr>
              <w:t>​</w:t>
            </w:r>
          </w:p>
        </w:tc>
        <w:tc>
          <w:tcPr>
            <w:tcW w:w="58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2"/>
                <w:szCs w:val="12"/>
                <w:b w:val="1"/>
                <w:bCs w:val="1"/>
                <w:color w:val="auto"/>
              </w:rPr>
              <w:t>14,218</w:t>
            </w:r>
            <w:r>
              <w:rPr>
                <w:rFonts w:ascii="Times New Roman" w:cs="Times New Roman" w:eastAsia="Times New Roman" w:hAnsi="Times New Roman"/>
                <w:sz w:val="22"/>
                <w:szCs w:val="22"/>
                <w:b w:val="1"/>
                <w:bCs w:val="1"/>
                <w:color w:val="auto"/>
                <w:vertAlign w:val="subscript"/>
              </w:rPr>
              <w:t>​​ ​</w:t>
            </w:r>
          </w:p>
        </w:tc>
        <w:tc>
          <w:tcPr>
            <w:tcW w:w="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2"/>
                <w:szCs w:val="22"/>
                <w:b w:val="1"/>
                <w:bCs w:val="1"/>
                <w:color w:val="auto"/>
                <w:vertAlign w:val="superscript"/>
              </w:rPr>
              <w:t>​</w:t>
            </w:r>
          </w:p>
        </w:tc>
        <w:tc>
          <w:tcPr>
            <w:tcW w:w="680" w:type="dxa"/>
            <w:vAlign w:val="bottom"/>
            <w:tcBorders>
              <w:right w:val="single" w:sz="8" w:color="CCEEFF"/>
            </w:tcBorders>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2"/>
                <w:szCs w:val="12"/>
                <w:b w:val="1"/>
                <w:bCs w:val="1"/>
                <w:color w:val="auto"/>
              </w:rPr>
              <w:t>169,391</w:t>
            </w:r>
            <w:r>
              <w:rPr>
                <w:rFonts w:ascii="Times New Roman" w:cs="Times New Roman" w:eastAsia="Times New Roman" w:hAnsi="Times New Roman"/>
                <w:sz w:val="22"/>
                <w:szCs w:val="22"/>
                <w:b w:val="1"/>
                <w:bCs w:val="1"/>
                <w:color w:val="auto"/>
                <w:vertAlign w:val="subscript"/>
              </w:rPr>
              <w:t>​​ ​</w:t>
            </w:r>
          </w:p>
        </w:tc>
        <w:tc>
          <w:tcPr>
            <w:tcW w:w="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2"/>
                <w:szCs w:val="22"/>
                <w:b w:val="1"/>
                <w:bCs w:val="1"/>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-166370</wp:posOffset>
            </wp:positionV>
            <wp:extent cx="1003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-166370</wp:posOffset>
            </wp:positionV>
            <wp:extent cx="32873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87395" cy="698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-447040</wp:posOffset>
            </wp:positionV>
            <wp:extent cx="1003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-447040</wp:posOffset>
            </wp:positionV>
            <wp:extent cx="32873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87395" cy="6985"/>
                    </a:xfrm>
                    <a:prstGeom prst="rect">
                      <a:avLst/>
                    </a:prstGeom>
                    <a:noFill/>
                  </pic:spPr>
                </pic:pic>
              </a:graphicData>
            </a:graphic>
          </wp:anchor>
        </w:drawing>
      </w:r>
    </w:p>
    <w:p>
      <w:pPr>
        <w:spacing w:after="0" w:line="144"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On May 14, 2025, we entered into an at market issuance sales agreement with China Renaissance Securities (Hong Kong) Limited, as sales agent or principal pursuant to which we may offer and sell our ADSs having an aggregate offering price of up to US$8,000,000 from time to time through or to the sales agent. During the period from December 31, 2025 until the date of this prospectus, we have not issued and sold any ADSs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25"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Aurora Mobile Limited, or Aurora, is a Cayman Islands exempted company incorporated with limited liability and its affairs are governed by the seventh memorandum and articles of association of Aurora, adopted by special resolution passed on June 27, 2018 and effective immediately prior to the completion of the initial public offering of Aurora’s ADSs representing Aurora’s Class A common shares, which we refer to as our memorandum and articles of association below, the Companies Act (As Revised) of the Cayman Islands, as amended from time to time, which we refer to as the Companies Act below, and the common law of the Cayman Islands.</w:t>
      </w:r>
    </w:p>
    <w:p>
      <w:pPr>
        <w:spacing w:after="0" w:line="91"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As of the date of this prospectus, the authorized share capital of Aurora is US$500,000 divided into 5,000,000,000 shares comprising of (i) 4,920,000,000 Class A common shares of a par value of US$0.0001 each, (ii) 30,000,000 Class B common shares of a par value of US$0.0001, and (iii) 50,000,000 shares of a par value of US$0.0001 each of such class or classes (however designated) as the board of directors may determine in accordance with our memorandum and articles of association.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Our Memorandum and Articles of Association</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The following are summaries of material provisions of our current memorandum and articles of</w:t>
      </w:r>
    </w:p>
    <w:p>
      <w:pPr>
        <w:spacing w:after="0" w:line="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association and of the Companies Act, insofar as they relate to the material terms of our common shares.</w:t>
      </w:r>
    </w:p>
    <w:p>
      <w:pPr>
        <w:spacing w:after="0" w:line="96" w:lineRule="exact"/>
        <w:rPr>
          <w:sz w:val="20"/>
          <w:szCs w:val="20"/>
          <w:color w:val="auto"/>
        </w:rPr>
      </w:pPr>
    </w:p>
    <w:p>
      <w:pPr>
        <w:ind w:left="1300" w:right="141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Objects of Aurora</w:t>
      </w:r>
      <w:r>
        <w:rPr>
          <w:rFonts w:ascii="Times New Roman" w:cs="Times New Roman" w:eastAsia="Times New Roman" w:hAnsi="Times New Roman"/>
          <w:sz w:val="14"/>
          <w:szCs w:val="14"/>
          <w:color w:val="auto"/>
        </w:rPr>
        <w:t>. Under our memorandum and articles of association, the objects of Aurora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unrestricted and we have the full power and authority to carry out any object not prohibited by the Cayman Islands law.</w:t>
      </w:r>
    </w:p>
    <w:p>
      <w:pPr>
        <w:spacing w:after="0" w:line="80"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Common Shares</w:t>
      </w:r>
      <w:r>
        <w:rPr>
          <w:rFonts w:ascii="Times New Roman" w:cs="Times New Roman" w:eastAsia="Times New Roman" w:hAnsi="Times New Roman"/>
          <w:sz w:val="14"/>
          <w:szCs w:val="14"/>
          <w:color w:val="auto"/>
        </w:rPr>
        <w:t>. Our common shares are divided into Class A common shares and Class B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Holders of our Class A common shares and Class B common shares will have the same rights except for voting and conversion rights. Our common shares are issued in registered form and are issued when registered in our register of members. We may not issue shares to bearer. Our shareholders who are non-residents of the Cayman Islands may freely hold and vote their shares.</w:t>
      </w:r>
    </w:p>
    <w:p>
      <w:pPr>
        <w:spacing w:after="0" w:line="84"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Each Class B common share is convertible into one Class A common share at any time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 thereof. Any number of Class B common shares will be automatically and immediately converted into an equal number of Class A common shares upon the occurrence of certain matters as set forth in our memorandum and articles of association, including (i) upon any direct or indirect sale, transfer, assignment or disposition of such number of Class B common shares by a holder thereof, or assignment of the voting power attached to such number of Class B common shares through voting proxy or otherwise, to any person other than an affiliate of such holder of Class B common shares,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common shares that is an entity to any person that is not an affiliate of such holder of Class B common shares; and (iii) our founder, Mr. Weidong Luo, ceasing to be the ultimate beneficial owner of any issued and outstanding Class B common shares. Class A common shares are not convertible into Class B common shares under any circumstances.</w:t>
      </w:r>
    </w:p>
    <w:p>
      <w:pPr>
        <w:spacing w:after="0" w:line="87" w:lineRule="exact"/>
        <w:rPr>
          <w:sz w:val="20"/>
          <w:szCs w:val="20"/>
          <w:color w:val="auto"/>
        </w:rPr>
      </w:pPr>
    </w:p>
    <w:p>
      <w:pPr>
        <w:ind w:left="1300" w:right="141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The holders of our common shares are entitled to such dividends as may be declared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our board of directors. In addition, our shareholders may declare dividends by ordinary resolution, but no dividend shall exceed the amount recommended by our directors. Our memorandum and articles of association provide that dividends may be declared and paid out of Aurora’s profits, realized or unrealized, or from any reserve set aside from funds legally available for distribution. Under the laws of the Cayman Islands, Aurora may pay a dividend out of either profits or share premium account;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circumstances may a dividend be paid if this would result in Aurora being unable to pay its debts as they fall due in the ordinary course of business.</w:t>
      </w:r>
    </w:p>
    <w:p>
      <w:pPr>
        <w:spacing w:after="0" w:line="90" w:lineRule="exact"/>
        <w:rPr>
          <w:sz w:val="20"/>
          <w:szCs w:val="20"/>
          <w:color w:val="auto"/>
        </w:rPr>
      </w:pPr>
    </w:p>
    <w:p>
      <w:pPr>
        <w:ind w:left="1300" w:right="133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In respect of all matters subject to a shareholders’ vote at general meetings of Aurora,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 show of hands, every shareholder present in person or by proxy shall each have one vote, and on a poll, each holder of Class A common shares is entitled to one vote per share and each holder of Class B common shares is entitled to ten votes per share. Our Class A common shares and Class B common shares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51" w:lineRule="auto"/>
        <w:rPr>
          <w:sz w:val="20"/>
          <w:szCs w:val="20"/>
          <w:color w:val="auto"/>
        </w:rPr>
      </w:pPr>
      <w:r>
        <w:rPr>
          <w:rFonts w:ascii="Times New Roman" w:cs="Times New Roman" w:eastAsia="Times New Roman" w:hAnsi="Times New Roman"/>
          <w:sz w:val="14"/>
          <w:szCs w:val="14"/>
          <w:color w:val="auto"/>
        </w:rPr>
        <w:t>vote together as a single class on all matters submitted to a vote of our shareholders, except as may otherwise be required by law. Voting at any shareholders’ meeting is by show of hands unless a poll is demanded (before or on the declaration of the result of the show of hands). A poll may be demanded by the chairman of such meeting or any shareholder holding not less than 10% of the votes attaching to the total common shares present in person or by proxy at the meeting.</w:t>
      </w:r>
    </w:p>
    <w:p>
      <w:pPr>
        <w:spacing w:after="0" w:line="84"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An ordinary resolution to be passed at a meeting by the shareholders requires the affirmative vote of a simple majority of the votes attaching to the common shares cast at a meeting, while a special resolution requires the affirmative vote of no less than two-thirds of the votes cast attaching to the issued and outstanding common shares at a meeting. A special resolution will be required for important matters such as a change of name or making changes to our memorandum and articles of association. Holders of the common shares may, among other things, divide or combine their shares by ordinary resolution.</w:t>
      </w:r>
    </w:p>
    <w:p>
      <w:pPr>
        <w:spacing w:after="0" w:line="89" w:lineRule="exact"/>
        <w:rPr>
          <w:sz w:val="20"/>
          <w:szCs w:val="20"/>
          <w:color w:val="auto"/>
        </w:rPr>
      </w:pPr>
    </w:p>
    <w:p>
      <w:pPr>
        <w:ind w:left="1300" w:right="143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General Meetings of Shareholders</w:t>
      </w:r>
      <w:r>
        <w:rPr>
          <w:rFonts w:ascii="Times New Roman" w:cs="Times New Roman" w:eastAsia="Times New Roman" w:hAnsi="Times New Roman"/>
          <w:sz w:val="14"/>
          <w:szCs w:val="14"/>
          <w:color w:val="auto"/>
        </w:rPr>
        <w:t>. As a Cayman Islands exempted company, we are not obliged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Companies Act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83"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Shareholders’ general meetings may be convened by our chairman or our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or by proxy, holding shares which carry in aggregate (or representing by proxy) not less than one-third of all votes attaching to all of our shares in issue and entitled to vote.</w:t>
      </w:r>
    </w:p>
    <w:p>
      <w:pPr>
        <w:spacing w:after="0" w:line="91"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all votes attaching to the issued and outstanding shares of Aurora that as of the date of the deposit carry the right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87"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Transfer of Common Shares </w:t>
      </w:r>
      <w:r>
        <w:rPr>
          <w:rFonts w:ascii="Times New Roman" w:cs="Times New Roman" w:eastAsia="Times New Roman" w:hAnsi="Times New Roman"/>
          <w:sz w:val="14"/>
          <w:szCs w:val="14"/>
          <w:color w:val="auto"/>
        </w:rPr>
        <w:t>. Subject to the restrictions set out in our memorandum and articles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association as set out below, any of our shareholders may transfer all or any of his or her common shares by an instrument of transfer in the usual or common form or any other form approved by our board of directors.</w:t>
      </w:r>
    </w:p>
    <w:p>
      <w:pPr>
        <w:spacing w:after="0" w:line="82" w:lineRule="exact"/>
        <w:rPr>
          <w:sz w:val="20"/>
          <w:szCs w:val="20"/>
          <w:color w:val="auto"/>
        </w:rPr>
      </w:pPr>
    </w:p>
    <w:p>
      <w:pPr>
        <w:ind w:left="1300" w:right="1499" w:firstLine="281"/>
        <w:spacing w:after="0" w:line="259" w:lineRule="auto"/>
        <w:rPr>
          <w:sz w:val="20"/>
          <w:szCs w:val="20"/>
          <w:color w:val="auto"/>
        </w:rPr>
      </w:pPr>
      <w:r>
        <w:rPr>
          <w:rFonts w:ascii="Times New Roman" w:cs="Times New Roman" w:eastAsia="Times New Roman" w:hAnsi="Times New Roman"/>
          <w:sz w:val="14"/>
          <w:szCs w:val="14"/>
          <w:color w:val="auto"/>
        </w:rPr>
        <w:t>Our board of directors may, in its absolute discretion, decline to register any transfer of any common share which is not fully paid up or on which we have a lien. Our board of directors may also decline to register any transfer of any common share unless:</w:t>
      </w:r>
    </w:p>
    <w:p>
      <w:pPr>
        <w:spacing w:after="0" w:line="47" w:lineRule="exact"/>
        <w:rPr>
          <w:sz w:val="20"/>
          <w:szCs w:val="20"/>
          <w:color w:val="auto"/>
        </w:rPr>
      </w:pPr>
    </w:p>
    <w:p>
      <w:pPr>
        <w:jc w:val="both"/>
        <w:ind w:left="1720" w:right="1339" w:hanging="134"/>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for the common shares to which it relates and such other evidence as our board of directors may reasonably require to show the right of the transferor to make the transfer;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common shares;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8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common share is to be transferred does not exceed four; and</w:t>
      </w:r>
    </w:p>
    <w:p>
      <w:pPr>
        <w:spacing w:after="0" w:line="4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the Nasdaq Global Market may determine to be payable or such lesser sum as our directors may from time to time require is paid to us in respect thereof.</w:t>
      </w:r>
    </w:p>
    <w:p>
      <w:pPr>
        <w:spacing w:after="0" w:line="62" w:lineRule="exact"/>
        <w:rPr>
          <w:sz w:val="20"/>
          <w:szCs w:val="20"/>
          <w:color w:val="auto"/>
        </w:rPr>
      </w:pPr>
    </w:p>
    <w:p>
      <w:pPr>
        <w:jc w:val="both"/>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If our directors refuse to register any transfer of shares, they shall, within three calendar months after the date on which the instrument of transfer was lodged with Aurora, send to each of the transferor and the transferee notice of such refusal.</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color w:val="auto"/>
        </w:rPr>
        <w:t xml:space="preserve">The registration of transfers may, on ten calendar days’ notice being given by advertisement in such one or more newspapers, by electronic means or by any other means in accordance with the rules of the Nasdaq Global Market, be suspended and the register of members closed at such times and for such periods as our board of directors may from time to time determine;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registration of transfers shall not be suspended nor the register of members closed for more than 30 calendar days in any calendar year.</w:t>
      </w:r>
    </w:p>
    <w:p>
      <w:pPr>
        <w:spacing w:after="0" w:line="250"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On the winding up of Aurora, if the assets available for distribution amongst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Aurora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261" w:lineRule="exact"/>
        <w:rPr>
          <w:sz w:val="20"/>
          <w:szCs w:val="20"/>
          <w:color w:val="auto"/>
        </w:rPr>
      </w:pPr>
    </w:p>
    <w:p>
      <w:pPr>
        <w:ind w:left="1300" w:right="1459" w:firstLine="281"/>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Calls on Shares and Forfeiture of Shares. </w:t>
      </w:r>
      <w:r>
        <w:rPr>
          <w:rFonts w:ascii="Times New Roman" w:cs="Times New Roman" w:eastAsia="Times New Roman" w:hAnsi="Times New Roman"/>
          <w:sz w:val="14"/>
          <w:szCs w:val="14"/>
          <w:color w:val="auto"/>
        </w:rPr>
        <w:t>Our board of directors may from time to time make calls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shareholders in respect of any moneys unpaid on their shares by a notice served to such shareholders at least 14 calendar days prior to the specified time of payment. The shares that have been called upon and remain unpaid are subject to forfeiture.</w:t>
      </w:r>
    </w:p>
    <w:p>
      <w:pPr>
        <w:spacing w:after="0" w:line="76"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i w:val="1"/>
          <w:iCs w:val="1"/>
          <w:color w:val="auto"/>
        </w:rPr>
        <w:t>Redemption, Repurchase and Surrender of Shares</w:t>
      </w:r>
      <w:r>
        <w:rPr>
          <w:rFonts w:ascii="Times New Roman" w:cs="Times New Roman" w:eastAsia="Times New Roman" w:hAnsi="Times New Roman"/>
          <w:sz w:val="14"/>
          <w:szCs w:val="14"/>
          <w:color w:val="auto"/>
        </w:rPr>
        <w:t>. We may issue shares on terms that such shares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redemption, at our option or at the option of the holders of these shares, on such terms and in such manner as may be determined, before the issue of such shares, by either our board of directors or by a special resolution of our shareholders. Aurora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Aurora’s profits or out of the proceeds of a new issue of shares made for the purpose of such redemption or repurchase, or out of capital (including share premium account and capital redemption reserve) if Aurora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Aurora may accept the surrender of any fully paid share for no consideration.</w:t>
      </w:r>
    </w:p>
    <w:p>
      <w:pPr>
        <w:spacing w:after="0" w:line="260"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i w:val="1"/>
          <w:iCs w:val="1"/>
          <w:color w:val="auto"/>
        </w:rPr>
        <w:t>Variations of Rights of Shares</w:t>
      </w:r>
      <w:r>
        <w:rPr>
          <w:rFonts w:ascii="Times New Roman" w:cs="Times New Roman" w:eastAsia="Times New Roman" w:hAnsi="Times New Roman"/>
          <w:sz w:val="14"/>
          <w:szCs w:val="14"/>
          <w:color w:val="auto"/>
        </w:rPr>
        <w:t>. If at any time, Aurora’s share capital is divided into different classes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the rights attached to any class of shares, subject to any rights or restrictions for the time being attached to any class, may only be materially adversely varied with the consent in writing of all the holders of the issued shares of that class or with the sanction of an ordinary resolution passed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materially adversely varied by, inter alia, the creation, allotment or issue of further shares ranking pari passu with or subsequent to or the redemption or purchase of such existing class of shares.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93" w:lineRule="exact"/>
        <w:rPr>
          <w:sz w:val="20"/>
          <w:szCs w:val="20"/>
          <w:color w:val="auto"/>
        </w:rPr>
      </w:pPr>
    </w:p>
    <w:p>
      <w:pPr>
        <w:ind w:left="1300" w:right="153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Issuance of Additional Shares</w:t>
      </w:r>
      <w:r>
        <w:rPr>
          <w:rFonts w:ascii="Times New Roman" w:cs="Times New Roman" w:eastAsia="Times New Roman" w:hAnsi="Times New Roman"/>
          <w:sz w:val="14"/>
          <w:szCs w:val="14"/>
          <w:color w:val="auto"/>
        </w:rPr>
        <w:t>. Our articles of association authorizes our board of directors to issue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common shares from time to time as our board of directors shall determine, to the extent of available authorized but unissued shares.</w:t>
      </w:r>
    </w:p>
    <w:p>
      <w:pPr>
        <w:spacing w:after="0" w:line="73" w:lineRule="exact"/>
        <w:rPr>
          <w:sz w:val="20"/>
          <w:szCs w:val="20"/>
          <w:color w:val="auto"/>
        </w:rPr>
      </w:pPr>
    </w:p>
    <w:p>
      <w:pPr>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Our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52" w:lineRule="exact"/>
        <w:rPr>
          <w:sz w:val="20"/>
          <w:szCs w:val="20"/>
          <w:color w:val="auto"/>
        </w:rPr>
      </w:pPr>
    </w:p>
    <w:p>
      <w:pPr>
        <w:ind w:left="1720" w:hanging="134"/>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dividend rates, conversion rights, voting rights; and</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the rights and terms of redemption and liquidation preferences.</w:t>
      </w:r>
    </w:p>
    <w:p>
      <w:pPr>
        <w:spacing w:after="0" w:line="123" w:lineRule="exact"/>
        <w:rPr>
          <w:sz w:val="20"/>
          <w:szCs w:val="20"/>
          <w:color w:val="auto"/>
        </w:rPr>
      </w:pPr>
    </w:p>
    <w:p>
      <w:pPr>
        <w:ind w:left="1300" w:right="1359" w:firstLine="281"/>
        <w:spacing w:after="0" w:line="268" w:lineRule="auto"/>
        <w:rPr>
          <w:sz w:val="20"/>
          <w:szCs w:val="20"/>
          <w:color w:val="auto"/>
        </w:rPr>
      </w:pPr>
      <w:r>
        <w:rPr>
          <w:rFonts w:ascii="Times New Roman" w:cs="Times New Roman" w:eastAsia="Times New Roman" w:hAnsi="Times New Roman"/>
          <w:sz w:val="14"/>
          <w:szCs w:val="14"/>
          <w:color w:val="auto"/>
        </w:rPr>
        <w:t>Our board of directors may issue preference shares without action by our shareholders to the extent authorized but unissued. Issuance of these shares may dilute the voting power of holders of common shares.</w:t>
      </w:r>
    </w:p>
    <w:p>
      <w:pPr>
        <w:spacing w:after="0" w:line="70"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Inspection of Books and Records</w:t>
      </w:r>
      <w:r>
        <w:rPr>
          <w:rFonts w:ascii="Times New Roman" w:cs="Times New Roman" w:eastAsia="Times New Roman" w:hAnsi="Times New Roman"/>
          <w:sz w:val="14"/>
          <w:szCs w:val="14"/>
          <w:color w:val="auto"/>
        </w:rPr>
        <w:t>. Holders of our common shares have no general right under Cayman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Islands law to inspect or obtain copies of our list of shareholders or our corporate records (other than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86" w:lineRule="exact"/>
        <w:rPr>
          <w:sz w:val="20"/>
          <w:szCs w:val="20"/>
          <w:color w:val="auto"/>
        </w:rPr>
      </w:pPr>
    </w:p>
    <w:p>
      <w:pPr>
        <w:ind w:left="1300" w:right="145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Anti-Takeover Provisions</w:t>
      </w:r>
      <w:r>
        <w:rPr>
          <w:rFonts w:ascii="Times New Roman" w:cs="Times New Roman" w:eastAsia="Times New Roman" w:hAnsi="Times New Roman"/>
          <w:sz w:val="14"/>
          <w:szCs w:val="14"/>
          <w:color w:val="auto"/>
        </w:rPr>
        <w:t>. Some provisions of our memorandum and articles of association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discourage, delay or prevent a change of control of Aurora or management that shareholders may consider favorable, including provisions that:</w:t>
      </w:r>
    </w:p>
    <w:p>
      <w:pPr>
        <w:spacing w:after="0" w:line="45" w:lineRule="exact"/>
        <w:rPr>
          <w:sz w:val="20"/>
          <w:szCs w:val="20"/>
          <w:color w:val="auto"/>
        </w:rPr>
      </w:pPr>
    </w:p>
    <w:p>
      <w:pPr>
        <w:ind w:left="1720" w:right="1399" w:hanging="134"/>
        <w:spacing w:after="0" w:line="267"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shareholders to requisition and convene general meetings of shareholders.</w:t>
      </w:r>
    </w:p>
    <w:p>
      <w:pPr>
        <w:spacing w:after="0" w:line="113" w:lineRule="exact"/>
        <w:rPr>
          <w:sz w:val="20"/>
          <w:szCs w:val="20"/>
          <w:color w:val="auto"/>
        </w:rPr>
      </w:pPr>
    </w:p>
    <w:p>
      <w:pPr>
        <w:jc w:val="both"/>
        <w:ind w:left="1300" w:right="1419" w:firstLine="281"/>
        <w:spacing w:after="0" w:line="259" w:lineRule="auto"/>
        <w:rPr>
          <w:sz w:val="20"/>
          <w:szCs w:val="20"/>
          <w:color w:val="auto"/>
        </w:rPr>
      </w:pPr>
      <w:r>
        <w:rPr>
          <w:rFonts w:ascii="Times New Roman" w:cs="Times New Roman" w:eastAsia="Times New Roman" w:hAnsi="Times New Roman"/>
          <w:sz w:val="14"/>
          <w:szCs w:val="14"/>
          <w:color w:val="auto"/>
        </w:rPr>
        <w:t>However, under Cayman Islands law, our directors may only exercise the rights and powers granted to them under our memorandum and articles of association for a proper purpose and for what they believe in good faith to be in the best interests of Aurora.</w:t>
      </w:r>
    </w:p>
    <w:p>
      <w:pPr>
        <w:spacing w:after="0" w:line="77" w:lineRule="exact"/>
        <w:rPr>
          <w:sz w:val="20"/>
          <w:szCs w:val="20"/>
          <w:color w:val="auto"/>
        </w:rPr>
      </w:pPr>
    </w:p>
    <w:p>
      <w:pPr>
        <w:ind w:left="1300" w:right="151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Exempted Company</w:t>
      </w:r>
      <w:r>
        <w:rPr>
          <w:rFonts w:ascii="Times New Roman" w:cs="Times New Roman" w:eastAsia="Times New Roman" w:hAnsi="Times New Roman"/>
          <w:sz w:val="14"/>
          <w:szCs w:val="14"/>
          <w:color w:val="auto"/>
        </w:rPr>
        <w:t>. We are an exempted company with limited liability under the Companies 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54" w:lineRule="exact"/>
        <w:rPr>
          <w:sz w:val="20"/>
          <w:szCs w:val="20"/>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file an annual return of its shareholders with the Registrar of Companies;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required to open its register of members for inspection;</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hold an annual general meeting;</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issue negotiable or bearer shares or shares with no par value;</w:t>
      </w:r>
    </w:p>
    <w:p>
      <w:pPr>
        <w:spacing w:after="0" w:line="8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 (such undertakings are usually given for 20 years in the first instance);</w:t>
      </w:r>
    </w:p>
    <w:p>
      <w:pPr>
        <w:spacing w:after="0" w:line="30"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limited duration company; and</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113"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15"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39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Mergers and Similar Arrangements</w:t>
      </w:r>
      <w:r>
        <w:rPr>
          <w:rFonts w:ascii="Times New Roman" w:cs="Times New Roman" w:eastAsia="Times New Roman" w:hAnsi="Times New Roman"/>
          <w:sz w:val="14"/>
          <w:szCs w:val="14"/>
          <w:color w:val="auto"/>
        </w:rPr>
        <w:t>. The Companies Act permits mergers and consolidations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66" w:lineRule="exact"/>
        <w:rPr>
          <w:sz w:val="20"/>
          <w:szCs w:val="20"/>
          <w:color w:val="auto"/>
        </w:rPr>
      </w:pPr>
    </w:p>
    <w:p>
      <w:pPr>
        <w:ind w:left="1300" w:right="1519" w:firstLine="281"/>
        <w:spacing w:after="0" w:line="259" w:lineRule="auto"/>
        <w:rPr>
          <w:sz w:val="20"/>
          <w:szCs w:val="20"/>
          <w:color w:val="auto"/>
        </w:rPr>
      </w:pPr>
      <w:r>
        <w:rPr>
          <w:rFonts w:ascii="Times New Roman" w:cs="Times New Roman" w:eastAsia="Times New Roman" w:hAnsi="Times New Roman"/>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89" w:lineRule="exact"/>
        <w:rPr>
          <w:sz w:val="20"/>
          <w:szCs w:val="20"/>
          <w:color w:val="auto"/>
        </w:rPr>
      </w:pPr>
    </w:p>
    <w:p>
      <w:pPr>
        <w:ind w:left="1300" w:right="1819" w:firstLine="281"/>
        <w:spacing w:after="0" w:line="283" w:lineRule="auto"/>
        <w:rPr>
          <w:sz w:val="20"/>
          <w:szCs w:val="20"/>
          <w:color w:val="auto"/>
        </w:rPr>
      </w:pPr>
      <w:r>
        <w:rPr>
          <w:rFonts w:ascii="Times New Roman" w:cs="Times New Roman" w:eastAsia="Times New Roman" w:hAnsi="Times New Roman"/>
          <w:sz w:val="14"/>
          <w:szCs w:val="14"/>
          <w:color w:val="auto"/>
        </w:rPr>
        <w:t>The consent of each holder of a fixed or floating security interest over a constituent company is required unless this requirement is waived by a court in the Cayman Islands.</w:t>
      </w:r>
    </w:p>
    <w:p>
      <w:pPr>
        <w:spacing w:after="0" w:line="62"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92"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34" w:lineRule="exact"/>
        <w:rPr>
          <w:sz w:val="20"/>
          <w:szCs w:val="20"/>
          <w:color w:val="auto"/>
        </w:rPr>
      </w:pPr>
    </w:p>
    <w:p>
      <w:pPr>
        <w:ind w:left="1720" w:hanging="134"/>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76"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218"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w:t>
      </w:r>
    </w:p>
    <w:p>
      <w:pPr>
        <w:spacing w:after="0" w:line="73"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The Companies Act also contains a statutory power of compulsory acquisition which may facilitate the “squeeze out” of dissentient minority shareholder upon a tender offer. When a tender offer is made and</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51" w:lineRule="auto"/>
        <w:rPr>
          <w:sz w:val="20"/>
          <w:szCs w:val="20"/>
          <w:color w:val="auto"/>
        </w:rPr>
      </w:pPr>
      <w:r>
        <w:rPr>
          <w:rFonts w:ascii="Times New Roman" w:cs="Times New Roman" w:eastAsia="Times New Roman" w:hAnsi="Times New Roman"/>
          <w:sz w:val="14"/>
          <w:szCs w:val="14"/>
          <w:color w:val="auto"/>
        </w:rPr>
        <w:t>accepted by holders of 90% of the shares affected within four months, the offer 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84" w:lineRule="exact"/>
        <w:rPr>
          <w:sz w:val="20"/>
          <w:szCs w:val="20"/>
          <w:color w:val="auto"/>
        </w:rPr>
      </w:pPr>
    </w:p>
    <w:p>
      <w:pPr>
        <w:ind w:left="1300" w:right="1399" w:firstLine="281"/>
        <w:spacing w:after="0" w:line="245" w:lineRule="auto"/>
        <w:rPr>
          <w:sz w:val="20"/>
          <w:szCs w:val="20"/>
          <w:color w:val="auto"/>
        </w:rPr>
      </w:pPr>
      <w:r>
        <w:rPr>
          <w:rFonts w:ascii="Times New Roman" w:cs="Times New Roman" w:eastAsia="Times New Roman" w:hAnsi="Times New Roman"/>
          <w:sz w:val="14"/>
          <w:szCs w:val="14"/>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89" w:lineRule="exact"/>
        <w:rPr>
          <w:sz w:val="20"/>
          <w:szCs w:val="20"/>
          <w:color w:val="auto"/>
        </w:rPr>
      </w:pPr>
    </w:p>
    <w:p>
      <w:pPr>
        <w:ind w:left="1300" w:right="1419" w:firstLine="281"/>
        <w:spacing w:after="0" w:line="257" w:lineRule="auto"/>
        <w:rPr>
          <w:sz w:val="20"/>
          <w:szCs w:val="20"/>
          <w:color w:val="auto"/>
        </w:rPr>
      </w:pPr>
      <w:r>
        <w:rPr>
          <w:rFonts w:ascii="Times New Roman" w:cs="Times New Roman" w:eastAsia="Times New Roman" w:hAnsi="Times New Roman"/>
          <w:sz w:val="14"/>
          <w:szCs w:val="14"/>
          <w:i w:val="1"/>
          <w:iCs w:val="1"/>
          <w:color w:val="auto"/>
        </w:rPr>
        <w:t>Shareholders’ Suits</w:t>
      </w:r>
      <w:r>
        <w:rPr>
          <w:rFonts w:ascii="Times New Roman" w:cs="Times New Roman" w:eastAsia="Times New Roman" w:hAnsi="Times New Roman"/>
          <w:sz w:val="14"/>
          <w:szCs w:val="14"/>
          <w:color w:val="auto"/>
        </w:rPr>
        <w:t>. In principle, we will normally be the proper plaintiff to sue for a wrong done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w:t>
      </w:r>
    </w:p>
    <w:p>
      <w:pPr>
        <w:spacing w:after="0" w:line="230" w:lineRule="exact"/>
        <w:rPr>
          <w:sz w:val="20"/>
          <w:szCs w:val="20"/>
          <w:color w:val="auto"/>
        </w:rPr>
      </w:pPr>
    </w:p>
    <w:p>
      <w:pPr>
        <w:ind w:left="1720" w:hanging="134"/>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is illegal or ultra vires and is therefore incapable of ratification by the shareholders;</w:t>
      </w:r>
    </w:p>
    <w:p>
      <w:pPr>
        <w:spacing w:after="0" w:line="9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requires a resolution with a qualified (or special) majority (i.e., more than a simple majority) which has not been obtained; and</w:t>
      </w:r>
    </w:p>
    <w:p>
      <w:pPr>
        <w:spacing w:after="0" w:line="4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constitutes a fraud on the minority where the wrongdoer are themselves in control of the company.</w:t>
      </w:r>
    </w:p>
    <w:p>
      <w:pPr>
        <w:spacing w:after="0" w:line="60"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Indemnification of Directors and Executive Officers and Limitation of Liability</w:t>
      </w:r>
      <w:r>
        <w:rPr>
          <w:rFonts w:ascii="Times New Roman" w:cs="Times New Roman" w:eastAsia="Times New Roman" w:hAnsi="Times New Roman"/>
          <w:sz w:val="14"/>
          <w:szCs w:val="14"/>
          <w:color w:val="auto"/>
        </w:rPr>
        <w:t>. Cayman Islands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officers and directors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69" w:lineRule="exact"/>
        <w:rPr>
          <w:sz w:val="20"/>
          <w:szCs w:val="20"/>
          <w:color w:val="auto"/>
        </w:rPr>
      </w:pPr>
    </w:p>
    <w:p>
      <w:pPr>
        <w:ind w:left="1300" w:right="1359" w:firstLine="281"/>
        <w:spacing w:after="0" w:line="267"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84"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76" w:lineRule="exact"/>
        <w:rPr>
          <w:sz w:val="20"/>
          <w:szCs w:val="20"/>
          <w:color w:val="auto"/>
        </w:rPr>
      </w:pPr>
    </w:p>
    <w:p>
      <w:pPr>
        <w:jc w:val="both"/>
        <w:ind w:left="1300" w:right="1339" w:firstLine="281"/>
        <w:spacing w:after="0" w:line="259" w:lineRule="auto"/>
        <w:rPr>
          <w:sz w:val="20"/>
          <w:szCs w:val="20"/>
          <w:color w:val="auto"/>
        </w:rPr>
      </w:pPr>
      <w:r>
        <w:rPr>
          <w:rFonts w:ascii="Times New Roman" w:cs="Times New Roman" w:eastAsia="Times New Roman" w:hAnsi="Times New Roman"/>
          <w:sz w:val="14"/>
          <w:szCs w:val="14"/>
          <w:i w:val="1"/>
          <w:iCs w:val="1"/>
          <w:color w:val="auto"/>
        </w:rPr>
        <w:t>Directors’ Fiduciary Duties</w:t>
      </w:r>
      <w:r>
        <w:rPr>
          <w:rFonts w:ascii="Times New Roman" w:cs="Times New Roman" w:eastAsia="Times New Roman" w:hAnsi="Times New Roman"/>
          <w:sz w:val="14"/>
          <w:szCs w:val="14"/>
          <w:color w:val="auto"/>
        </w:rPr>
        <w:t>. Under Delaware corporate law, a director of a Delaware corporation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44" w:lineRule="auto"/>
        <w:rPr>
          <w:sz w:val="20"/>
          <w:szCs w:val="20"/>
          <w:color w:val="auto"/>
        </w:rPr>
      </w:pPr>
      <w:r>
        <w:rPr>
          <w:rFonts w:ascii="Times New Roman" w:cs="Times New Roman" w:eastAsia="Times New Roman" w:hAnsi="Times New Roman"/>
          <w:sz w:val="14"/>
          <w:szCs w:val="14"/>
          <w:color w:val="auto"/>
        </w:rPr>
        <w:t>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As a matter of Cayman Islands law, a director of a Cayman Islands company is in the position of a</w:t>
      </w:r>
    </w:p>
    <w:p>
      <w:pPr>
        <w:spacing w:after="0" w:line="22" w:lineRule="exact"/>
        <w:rPr>
          <w:sz w:val="20"/>
          <w:szCs w:val="20"/>
          <w:color w:val="auto"/>
        </w:rPr>
      </w:pPr>
    </w:p>
    <w:p>
      <w:pPr>
        <w:ind w:left="1300" w:right="1339"/>
        <w:spacing w:after="0" w:line="241" w:lineRule="auto"/>
        <w:rPr>
          <w:sz w:val="20"/>
          <w:szCs w:val="20"/>
          <w:color w:val="auto"/>
        </w:rPr>
      </w:pPr>
      <w:r>
        <w:rPr>
          <w:rFonts w:ascii="Times New Roman" w:cs="Times New Roman" w:eastAsia="Times New Roman" w:hAnsi="Times New Roman"/>
          <w:sz w:val="14"/>
          <w:szCs w:val="14"/>
          <w:color w:val="auto"/>
        </w:rPr>
        <w:t>fiduciary with respect to the company and therefore it is considered that he owes the following duties to the company — a duty to act bona fide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92" w:lineRule="exact"/>
        <w:rPr>
          <w:sz w:val="20"/>
          <w:szCs w:val="20"/>
          <w:color w:val="auto"/>
        </w:rPr>
      </w:pPr>
    </w:p>
    <w:p>
      <w:pPr>
        <w:ind w:left="1300" w:right="1419" w:firstLine="281"/>
        <w:spacing w:after="0" w:line="245" w:lineRule="auto"/>
        <w:rPr>
          <w:sz w:val="20"/>
          <w:szCs w:val="20"/>
          <w:color w:val="auto"/>
        </w:rPr>
      </w:pPr>
      <w:r>
        <w:rPr>
          <w:rFonts w:ascii="Times New Roman" w:cs="Times New Roman" w:eastAsia="Times New Roman" w:hAnsi="Times New Roman"/>
          <w:sz w:val="14"/>
          <w:szCs w:val="14"/>
          <w:i w:val="1"/>
          <w:iCs w:val="1"/>
          <w:color w:val="auto"/>
        </w:rPr>
        <w:t>Shareholder Action by Written Consent</w:t>
      </w:r>
      <w:r>
        <w:rPr>
          <w:rFonts w:ascii="Times New Roman" w:cs="Times New Roman" w:eastAsia="Times New Roman" w:hAnsi="Times New Roman"/>
          <w:sz w:val="14"/>
          <w:szCs w:val="14"/>
          <w:color w:val="auto"/>
        </w:rPr>
        <w:t>. Under the Delaware General Corporation Law, a 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252"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Shareholder Proposals </w:t>
      </w:r>
      <w:r>
        <w:rPr>
          <w:rFonts w:ascii="Times New Roman" w:cs="Times New Roman" w:eastAsia="Times New Roman" w:hAnsi="Times New Roman"/>
          <w:sz w:val="14"/>
          <w:szCs w:val="14"/>
          <w:color w:val="auto"/>
        </w:rPr>
        <w:t>. Under the Delaware General Corporation Law, a shareholder has the right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put any proposal before the annual meeting of shareholders;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52"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all votes attaching to all issued and outstanding shares of our company as at the date of the deposit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92" w:lineRule="exact"/>
        <w:rPr>
          <w:sz w:val="20"/>
          <w:szCs w:val="20"/>
          <w:color w:val="auto"/>
        </w:rPr>
      </w:pPr>
    </w:p>
    <w:p>
      <w:pPr>
        <w:ind w:left="1300" w:right="137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Cumulative Voting</w:t>
      </w:r>
      <w:r>
        <w:rPr>
          <w:rFonts w:ascii="Times New Roman" w:cs="Times New Roman" w:eastAsia="Times New Roman" w:hAnsi="Times New Roman"/>
          <w:sz w:val="14"/>
          <w:szCs w:val="14"/>
          <w:color w:val="auto"/>
        </w:rPr>
        <w:t>. Under the Delaware General Corporation Law, cumulative voting for elections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90" w:lineRule="exact"/>
        <w:rPr>
          <w:sz w:val="20"/>
          <w:szCs w:val="20"/>
          <w:color w:val="auto"/>
        </w:rPr>
      </w:pPr>
    </w:p>
    <w:p>
      <w:pPr>
        <w:ind w:left="1300" w:right="139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Removal of Directors</w:t>
      </w:r>
      <w:r>
        <w:rPr>
          <w:rFonts w:ascii="Times New Roman" w:cs="Times New Roman" w:eastAsia="Times New Roman" w:hAnsi="Times New Roman"/>
          <w:sz w:val="14"/>
          <w:szCs w:val="14"/>
          <w:color w:val="auto"/>
        </w:rPr>
        <w:t>. Under the Delaware General Corporation Law, a director of a corporation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classified board may be removed only for cause with the approval of a majority of the outstanding</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45" w:lineRule="auto"/>
        <w:rPr>
          <w:sz w:val="20"/>
          <w:szCs w:val="20"/>
          <w:color w:val="auto"/>
        </w:rPr>
      </w:pPr>
      <w:r>
        <w:rPr>
          <w:rFonts w:ascii="Times New Roman" w:cs="Times New Roman" w:eastAsia="Times New Roman" w:hAnsi="Times New Roman"/>
          <w:sz w:val="14"/>
          <w:szCs w:val="14"/>
          <w:color w:val="auto"/>
        </w:rPr>
        <w:t>shares entitled to vote, unless the certificate of incorporation provides otherwise. Under our memorandum and articles of association, directors may be removed by an ordinary resolution of our shareholders. A director’s office shall be vacated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89"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Transactions with Interested Shareholders</w:t>
      </w:r>
      <w:r>
        <w:rPr>
          <w:rFonts w:ascii="Times New Roman" w:cs="Times New Roman" w:eastAsia="Times New Roman" w:hAnsi="Times New Roman"/>
          <w:sz w:val="14"/>
          <w:szCs w:val="14"/>
          <w:color w:val="auto"/>
        </w:rPr>
        <w:t>. The Delaware General Corporation Law contains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90" w:lineRule="exact"/>
        <w:rPr>
          <w:sz w:val="20"/>
          <w:szCs w:val="20"/>
          <w:color w:val="auto"/>
        </w:rPr>
      </w:pPr>
    </w:p>
    <w:p>
      <w:pPr>
        <w:ind w:left="1300" w:right="1379" w:firstLine="281"/>
        <w:spacing w:after="0" w:line="247" w:lineRule="auto"/>
        <w:rPr>
          <w:sz w:val="20"/>
          <w:szCs w:val="20"/>
          <w:color w:val="auto"/>
        </w:rPr>
      </w:pPr>
      <w:r>
        <w:rPr>
          <w:rFonts w:ascii="Times New Roman" w:cs="Times New Roman" w:eastAsia="Times New Roman" w:hAnsi="Times New Roman"/>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85"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Dissolution; Winding up</w:t>
      </w:r>
      <w:r>
        <w:rPr>
          <w:rFonts w:ascii="Times New Roman" w:cs="Times New Roman" w:eastAsia="Times New Roman" w:hAnsi="Times New Roman"/>
          <w:sz w:val="14"/>
          <w:szCs w:val="14"/>
          <w:color w:val="auto"/>
        </w:rPr>
        <w:t>. Under the Delaware General Corporation Law, unless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88" w:lineRule="exact"/>
        <w:rPr>
          <w:sz w:val="20"/>
          <w:szCs w:val="20"/>
          <w:color w:val="auto"/>
        </w:rPr>
      </w:pPr>
    </w:p>
    <w:p>
      <w:pPr>
        <w:ind w:left="1300" w:right="1359" w:firstLine="281"/>
        <w:spacing w:after="0" w:line="247" w:lineRule="auto"/>
        <w:rPr>
          <w:sz w:val="20"/>
          <w:szCs w:val="20"/>
          <w:color w:val="auto"/>
        </w:rPr>
      </w:pPr>
      <w:r>
        <w:rPr>
          <w:rFonts w:ascii="Times New Roman" w:cs="Times New Roman" w:eastAsia="Times New Roman" w:hAnsi="Times New Roman"/>
          <w:sz w:val="14"/>
          <w:szCs w:val="14"/>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51" w:lineRule="exact"/>
        <w:rPr>
          <w:sz w:val="20"/>
          <w:szCs w:val="20"/>
          <w:color w:val="auto"/>
        </w:rPr>
      </w:pPr>
    </w:p>
    <w:p>
      <w:pPr>
        <w:ind w:left="1300" w:right="1319" w:firstLine="281"/>
        <w:spacing w:after="0" w:line="242" w:lineRule="auto"/>
        <w:rPr>
          <w:sz w:val="20"/>
          <w:szCs w:val="20"/>
          <w:color w:val="auto"/>
        </w:rPr>
      </w:pPr>
      <w:r>
        <w:rPr>
          <w:rFonts w:ascii="Times New Roman" w:cs="Times New Roman" w:eastAsia="Times New Roman" w:hAnsi="Times New Roman"/>
          <w:sz w:val="14"/>
          <w:szCs w:val="14"/>
          <w:i w:val="1"/>
          <w:iCs w:val="1"/>
          <w:color w:val="auto"/>
        </w:rPr>
        <w:t>Variation of Rights of Shares</w:t>
      </w:r>
      <w:r>
        <w:rPr>
          <w:rFonts w:ascii="Times New Roman" w:cs="Times New Roman" w:eastAsia="Times New Roman" w:hAnsi="Times New Roman"/>
          <w:sz w:val="14"/>
          <w:szCs w:val="14"/>
          <w:color w:val="auto"/>
        </w:rPr>
        <w:t>. Under the Delaware General Corporation Law, a corporation may vary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rights of a class of shares with the approval of a majority of the outstanding shares of such class, unless the certificate of incorporation provides otherwise. Under our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all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257" w:lineRule="exact"/>
        <w:rPr>
          <w:sz w:val="20"/>
          <w:szCs w:val="20"/>
          <w:color w:val="auto"/>
        </w:rPr>
      </w:pPr>
    </w:p>
    <w:p>
      <w:pPr>
        <w:jc w:val="both"/>
        <w:ind w:left="1300" w:right="141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Amendment of Governing Documents</w:t>
      </w:r>
      <w:r>
        <w:rPr>
          <w:rFonts w:ascii="Times New Roman" w:cs="Times New Roman" w:eastAsia="Times New Roman" w:hAnsi="Times New Roman"/>
          <w:sz w:val="14"/>
          <w:szCs w:val="14"/>
          <w:color w:val="auto"/>
        </w:rPr>
        <w:t>. Under the Delaware General Corporation Law, a corporation’s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governing documents may be amended with the approval of a majority of the outstanding shares entitled to vote, unless the certificate of incorporation provides otherwise. Under the Companies Act and our</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83" w:lineRule="auto"/>
        <w:rPr>
          <w:sz w:val="20"/>
          <w:szCs w:val="20"/>
          <w:color w:val="auto"/>
        </w:rPr>
      </w:pPr>
      <w:r>
        <w:rPr>
          <w:rFonts w:ascii="Times New Roman" w:cs="Times New Roman" w:eastAsia="Times New Roman" w:hAnsi="Times New Roman"/>
          <w:sz w:val="14"/>
          <w:szCs w:val="14"/>
          <w:color w:val="auto"/>
        </w:rPr>
        <w:t>memorandum and articles of association, our memorandum and articles of association may only be amended by a special resolution of our shareholders.</w:t>
      </w:r>
    </w:p>
    <w:p>
      <w:pPr>
        <w:spacing w:after="0" w:line="71" w:lineRule="exact"/>
        <w:rPr>
          <w:sz w:val="20"/>
          <w:szCs w:val="20"/>
          <w:color w:val="auto"/>
        </w:rPr>
      </w:pPr>
    </w:p>
    <w:p>
      <w:pPr>
        <w:ind w:left="1300" w:right="1379" w:firstLine="281"/>
        <w:spacing w:after="0" w:line="262" w:lineRule="auto"/>
        <w:rPr>
          <w:sz w:val="20"/>
          <w:szCs w:val="20"/>
          <w:color w:val="auto"/>
        </w:rPr>
      </w:pPr>
      <w:r>
        <w:rPr>
          <w:rFonts w:ascii="Times New Roman" w:cs="Times New Roman" w:eastAsia="Times New Roman" w:hAnsi="Times New Roman"/>
          <w:sz w:val="14"/>
          <w:szCs w:val="14"/>
          <w:i w:val="1"/>
          <w:iCs w:val="1"/>
          <w:color w:val="auto"/>
        </w:rPr>
        <w:t>Rights of Non-resident or Foreign Shareholders</w:t>
      </w:r>
      <w:r>
        <w:rPr>
          <w:rFonts w:ascii="Times New Roman" w:cs="Times New Roman" w:eastAsia="Times New Roman" w:hAnsi="Times New Roman"/>
          <w:sz w:val="14"/>
          <w:szCs w:val="14"/>
          <w:color w:val="auto"/>
        </w:rPr>
        <w:t>. There are no limitations imposed by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American Depositary Shares</w:t>
      </w:r>
    </w:p>
    <w:p>
      <w:pPr>
        <w:spacing w:after="0" w:line="125" w:lineRule="exact"/>
        <w:rPr>
          <w:sz w:val="20"/>
          <w:szCs w:val="20"/>
          <w:color w:val="auto"/>
        </w:rPr>
      </w:pPr>
    </w:p>
    <w:p>
      <w:pPr>
        <w:ind w:left="1300" w:right="1399" w:firstLine="281"/>
        <w:spacing w:after="0" w:line="244" w:lineRule="auto"/>
        <w:rPr>
          <w:sz w:val="20"/>
          <w:szCs w:val="20"/>
          <w:color w:val="auto"/>
        </w:rPr>
      </w:pPr>
      <w:r>
        <w:rPr>
          <w:rFonts w:ascii="Times New Roman" w:cs="Times New Roman" w:eastAsia="Times New Roman" w:hAnsi="Times New Roman"/>
          <w:sz w:val="14"/>
          <w:szCs w:val="14"/>
          <w:color w:val="auto"/>
        </w:rPr>
        <w:t>The Bank of New York Mellon, as depositary, will register and deliver American Depositary Shares, also referred to as ADSs. Three ADSs represent the right to receive two Class A common shares deposited with The Hongkong and Shanghai Banking Corporation Limited, as custodian for the depositary in Hong Kong. Each ADS will also represent any other securities, cash or other property which may be held by the depositary. The deposited Class A common shares together with any other securities, cash or other property held by the depositary are referred to as the deposited securities. The depositary’s office at which the ADSs will be administered is located at 101 Barclay Street, New York, NY 10286. The Bank of New York Mellon’s principal executive office is located at 225 Liberty Street, New York, NY 10286.</w:t>
      </w:r>
    </w:p>
    <w:p>
      <w:pPr>
        <w:spacing w:after="0" w:line="90"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53"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Registered holders of uncertificated ADSs will receive statements from the depositary confirming their holdings.</w:t>
      </w:r>
    </w:p>
    <w:p>
      <w:pPr>
        <w:spacing w:after="0" w:line="72"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As an ADS holder, we will not treat you as one of our shareholders and you will not have shareholder rights. The laws of the Cayman Islands govern shareholder rights. The depositary will be the holder of the Class A common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86"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The deposit agreement has been filed with the SEC as an exhibit to a Form S- 8 for our company (File No. 333-228839) filed on December 17, 2018. The form of ADR is on file with the SEC (as a prospectus) and was filed on July 26, 2018.</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will you receive dividends and other distributions on the Class A common shares?</w:t>
      </w:r>
    </w:p>
    <w:p>
      <w:pPr>
        <w:spacing w:after="0" w:line="115" w:lineRule="exact"/>
        <w:rPr>
          <w:sz w:val="20"/>
          <w:szCs w:val="20"/>
          <w:color w:val="auto"/>
        </w:rPr>
      </w:pPr>
    </w:p>
    <w:p>
      <w:pPr>
        <w:ind w:left="1300" w:right="1399" w:firstLine="281"/>
        <w:spacing w:after="0" w:line="251" w:lineRule="auto"/>
        <w:rPr>
          <w:sz w:val="20"/>
          <w:szCs w:val="20"/>
          <w:color w:val="auto"/>
        </w:rPr>
      </w:pPr>
      <w:r>
        <w:rPr>
          <w:rFonts w:ascii="Times New Roman" w:cs="Times New Roman" w:eastAsia="Times New Roman" w:hAnsi="Times New Roman"/>
          <w:sz w:val="14"/>
          <w:szCs w:val="14"/>
          <w:color w:val="auto"/>
        </w:rPr>
        <w:t>The depositary has agreed to pay or distribute to ADS holders the cash dividends or other distributions it or the custodian receives on Class A common shares or other deposited securities, upon payment or deduction of its fees and expenses. You will receive these distributions in proportion to the number of Class A common shares your ADSs represent.</w:t>
      </w:r>
    </w:p>
    <w:p>
      <w:pPr>
        <w:spacing w:after="0" w:line="51" w:lineRule="exact"/>
        <w:rPr>
          <w:sz w:val="20"/>
          <w:szCs w:val="20"/>
          <w:color w:val="auto"/>
        </w:rPr>
      </w:pPr>
    </w:p>
    <w:p>
      <w:pPr>
        <w:ind w:left="1720" w:right="1379" w:hanging="134"/>
        <w:spacing w:after="0" w:line="256"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Cash. </w:t>
      </w:r>
      <w:r>
        <w:rPr>
          <w:rFonts w:ascii="Times New Roman" w:cs="Times New Roman" w:eastAsia="Times New Roman" w:hAnsi="Times New Roman"/>
          <w:sz w:val="14"/>
          <w:szCs w:val="14"/>
          <w:color w:val="auto"/>
        </w:rPr>
        <w:t>The depositary will convert any cash dividend or other cash distribution we pay on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common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94" w:lineRule="exact"/>
        <w:rPr>
          <w:rFonts w:ascii="Times New Roman" w:cs="Times New Roman" w:eastAsia="Times New Roman" w:hAnsi="Times New Roman"/>
          <w:sz w:val="14"/>
          <w:szCs w:val="14"/>
          <w:color w:val="auto"/>
        </w:rPr>
      </w:pPr>
    </w:p>
    <w:p>
      <w:pPr>
        <w:ind w:left="1720" w:right="159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making a distribution, any withholding taxes, or other governmental charges that must be paid will be deducted. The depositary will distribute only whole U.S. dollars and cents and will round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20" w:right="1499"/>
        <w:spacing w:after="0" w:line="286" w:lineRule="auto"/>
        <w:rPr>
          <w:sz w:val="20"/>
          <w:szCs w:val="20"/>
          <w:color w:val="auto"/>
        </w:rPr>
      </w:pPr>
      <w:r>
        <w:rPr>
          <w:rFonts w:ascii="Times New Roman" w:cs="Times New Roman" w:eastAsia="Times New Roman" w:hAnsi="Times New Roman"/>
          <w:sz w:val="14"/>
          <w:szCs w:val="14"/>
          <w:color w:val="auto"/>
        </w:rPr>
        <w:t xml:space="preserve">fractional cents to the nearest whole cent. </w:t>
      </w:r>
      <w:r>
        <w:rPr>
          <w:rFonts w:ascii="Times New Roman" w:cs="Times New Roman" w:eastAsia="Times New Roman" w:hAnsi="Times New Roman"/>
          <w:sz w:val="14"/>
          <w:szCs w:val="14"/>
          <w:i w:val="1"/>
          <w:iCs w:val="1"/>
          <w:color w:val="auto"/>
        </w:rPr>
        <w:t>If the exchange rates fluctuate during a time when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depositary cannot convert the foreign currency, you may lose some of the value of the distribution</w:t>
      </w: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1720" w:right="1439" w:hanging="134"/>
        <w:spacing w:after="0" w:line="256"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Class A Common Shares. </w:t>
      </w:r>
      <w:r>
        <w:rPr>
          <w:rFonts w:ascii="Times New Roman" w:cs="Times New Roman" w:eastAsia="Times New Roman" w:hAnsi="Times New Roman"/>
          <w:sz w:val="14"/>
          <w:szCs w:val="14"/>
          <w:color w:val="auto"/>
        </w:rPr>
        <w:t>The depositary may distribute additional ADSs representing any Class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shares we distribute as a dividend or free distribution. The depositary will only distribute whole ADSs. It will sell Class A common shares which would require it to deliver a fraction of an ADS (or ADSs representing those shares) and distribute the net proceeds in the same way as it does with cash. If the depositary does not distribute additional ADSs, the outstanding ADSs will also represent the new Class A common shares. The depositary may sell a portion of the distributed Class A common shares (or ADSs representing those shares) sufficient to pay its fees and expenses in connection with that distribution.</w:t>
      </w:r>
    </w:p>
    <w:p>
      <w:pPr>
        <w:spacing w:after="0" w:line="57" w:lineRule="exact"/>
        <w:rPr>
          <w:rFonts w:ascii="Times New Roman" w:cs="Times New Roman" w:eastAsia="Times New Roman" w:hAnsi="Times New Roman"/>
          <w:sz w:val="14"/>
          <w:szCs w:val="14"/>
          <w:color w:val="auto"/>
        </w:rPr>
      </w:pPr>
    </w:p>
    <w:p>
      <w:pPr>
        <w:ind w:left="1720" w:right="1459" w:hanging="134"/>
        <w:spacing w:after="0" w:line="26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Rights to purchase additional Class A common shares. </w:t>
      </w:r>
      <w:r>
        <w:rPr>
          <w:rFonts w:ascii="Times New Roman" w:cs="Times New Roman" w:eastAsia="Times New Roman" w:hAnsi="Times New Roman"/>
          <w:sz w:val="14"/>
          <w:szCs w:val="14"/>
          <w:color w:val="auto"/>
        </w:rPr>
        <w:t>If we offer holders of our securities any rights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subscribe for additional Class A common shares or any other rights, the depositary may</w:t>
      </w:r>
    </w:p>
    <w:p>
      <w:pPr>
        <w:ind w:left="1900" w:hanging="174"/>
        <w:spacing w:after="0"/>
        <w:tabs>
          <w:tab w:leader="none" w:pos="19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those rights on behalf of ADS holders, (ii) distribute those rights to ADS holders or</w:t>
      </w:r>
    </w:p>
    <w:p>
      <w:pPr>
        <w:spacing w:after="0" w:line="7" w:lineRule="exact"/>
        <w:rPr>
          <w:rFonts w:ascii="Times New Roman" w:cs="Times New Roman" w:eastAsia="Times New Roman" w:hAnsi="Times New Roman"/>
          <w:sz w:val="14"/>
          <w:szCs w:val="14"/>
          <w:color w:val="auto"/>
        </w:rPr>
      </w:pPr>
    </w:p>
    <w:p>
      <w:pPr>
        <w:ind w:left="1720" w:right="1339" w:firstLine="6"/>
        <w:spacing w:after="0" w:line="252" w:lineRule="auto"/>
        <w:tabs>
          <w:tab w:leader="none" w:pos="198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sell those rights and distribute the net proceeds to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4"/>
          <w:szCs w:val="14"/>
          <w:i w:val="1"/>
          <w:iCs w:val="1"/>
          <w:color w:val="auto"/>
        </w:rPr>
        <w:t>In that case, you will receive no value for them.</w:t>
      </w:r>
      <w:r>
        <w:rPr>
          <w:rFonts w:ascii="Times New Roman" w:cs="Times New Roman" w:eastAsia="Times New Roman" w:hAnsi="Times New Roman"/>
          <w:sz w:val="14"/>
          <w:szCs w:val="14"/>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Class A common shares, new ADSs representing the new Class A common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60" w:lineRule="exact"/>
        <w:rPr>
          <w:rFonts w:ascii="Times New Roman" w:cs="Times New Roman" w:eastAsia="Times New Roman" w:hAnsi="Times New Roman"/>
          <w:sz w:val="14"/>
          <w:szCs w:val="14"/>
          <w:color w:val="auto"/>
        </w:rPr>
      </w:pPr>
    </w:p>
    <w:p>
      <w:pPr>
        <w:ind w:left="1720" w:right="1459" w:hanging="134"/>
        <w:spacing w:after="0" w:line="254"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Other Distributions. </w:t>
      </w:r>
      <w:r>
        <w:rPr>
          <w:rFonts w:ascii="Times New Roman" w:cs="Times New Roman" w:eastAsia="Times New Roman" w:hAnsi="Times New Roman"/>
          <w:sz w:val="14"/>
          <w:szCs w:val="14"/>
          <w:color w:val="auto"/>
        </w:rPr>
        <w:t>The depositary will send to ADS holders anything else we distribute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55" w:lineRule="exact"/>
        <w:rPr>
          <w:sz w:val="20"/>
          <w:szCs w:val="20"/>
          <w:color w:val="auto"/>
        </w:rPr>
      </w:pPr>
    </w:p>
    <w:p>
      <w:pPr>
        <w:ind w:left="1300" w:right="1419" w:firstLine="281"/>
        <w:spacing w:after="0" w:line="257" w:lineRule="auto"/>
        <w:rPr>
          <w:sz w:val="20"/>
          <w:szCs w:val="20"/>
          <w:color w:val="auto"/>
        </w:rPr>
      </w:pPr>
      <w:r>
        <w:rPr>
          <w:rFonts w:ascii="Times New Roman" w:cs="Times New Roman" w:eastAsia="Times New Roman" w:hAnsi="Times New Roman"/>
          <w:sz w:val="14"/>
          <w:szCs w:val="14"/>
          <w:color w:val="auto"/>
        </w:rPr>
        <w:t xml:space="preserve">The depositary is not responsible if it decides that it is unlawful or impractical to make a distribution available to any ADS holders. We have no obligation to register ADSs, Class A common shares, rights or other securities under the Securities Act. We also have no obligation to take any other action to permit the distribution of ADSs, Class A common shares, rights or anything else to ADS holders. </w:t>
      </w:r>
      <w:r>
        <w:rPr>
          <w:rFonts w:ascii="Times New Roman" w:cs="Times New Roman" w:eastAsia="Times New Roman" w:hAnsi="Times New Roman"/>
          <w:sz w:val="14"/>
          <w:szCs w:val="14"/>
          <w:i w:val="1"/>
          <w:iCs w:val="1"/>
          <w:color w:val="auto"/>
        </w:rPr>
        <w:t>This means that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may not receive the distributions we make on our Class A common shares or any value for them if it is illegal or impractical for us to make them available to you</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are ADSs issued?</w:t>
      </w:r>
    </w:p>
    <w:p>
      <w:pPr>
        <w:spacing w:after="0" w:line="125"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The depositary will deliver ADSs if you or your broker deposits Class A common shares or evidence of rights to receive Class A common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can ADS holders withdraw the deposited securities?</w:t>
      </w:r>
    </w:p>
    <w:p>
      <w:pPr>
        <w:spacing w:after="0" w:line="125"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You may surrender your ADSs to the depositary for the purpose of withdrawal. Upon payment of its fees and expenses and of any taxes or charges, such as stamp taxes or stock transfer taxes or fees, the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57" w:lineRule="auto"/>
        <w:rPr>
          <w:sz w:val="20"/>
          <w:szCs w:val="20"/>
          <w:color w:val="auto"/>
        </w:rPr>
      </w:pPr>
      <w:r>
        <w:rPr>
          <w:rFonts w:ascii="Times New Roman" w:cs="Times New Roman" w:eastAsia="Times New Roman" w:hAnsi="Times New Roman"/>
          <w:sz w:val="14"/>
          <w:szCs w:val="14"/>
          <w:color w:val="auto"/>
        </w:rPr>
        <w:t>depositary will deliver the Class A common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do ADS holders interchange between certificated ADSs and uncertificated ADSs?</w:t>
      </w:r>
    </w:p>
    <w:p>
      <w:pPr>
        <w:spacing w:after="0" w:line="125" w:lineRule="exact"/>
        <w:rPr>
          <w:sz w:val="20"/>
          <w:szCs w:val="20"/>
          <w:color w:val="auto"/>
        </w:rPr>
      </w:pPr>
    </w:p>
    <w:p>
      <w:pPr>
        <w:ind w:left="1300" w:right="1419" w:firstLine="281"/>
        <w:spacing w:after="0" w:line="258"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do you vote?</w:t>
      </w:r>
    </w:p>
    <w:p>
      <w:pPr>
        <w:spacing w:after="0" w:line="12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ADS holders may instruct the depositary how to vote the number of deposited Class A common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Class A common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85" w:lineRule="exact"/>
        <w:rPr>
          <w:sz w:val="20"/>
          <w:szCs w:val="20"/>
          <w:color w:val="auto"/>
        </w:rPr>
      </w:pPr>
    </w:p>
    <w:p>
      <w:pPr>
        <w:ind w:left="1300" w:right="1419" w:firstLine="281"/>
        <w:spacing w:after="0" w:line="260" w:lineRule="auto"/>
        <w:rPr>
          <w:sz w:val="20"/>
          <w:szCs w:val="20"/>
          <w:color w:val="auto"/>
        </w:rPr>
      </w:pPr>
      <w:r>
        <w:rPr>
          <w:rFonts w:ascii="Times New Roman" w:cs="Times New Roman" w:eastAsia="Times New Roman" w:hAnsi="Times New Roman"/>
          <w:sz w:val="14"/>
          <w:szCs w:val="14"/>
          <w:color w:val="auto"/>
        </w:rPr>
        <w:t>Except by instructing the depositary as described above, you won’t be able to exercise voting rights unless you surrender your ADSs and withdraw the Class A common shares. However, you may not know about the meeting in advance enough to withdraw the Class A common shares. In any event, the depositary will not exercise any discretion in voting deposited securities and it will only vote or attempt to vote as instructed.</w:t>
      </w:r>
    </w:p>
    <w:p>
      <w:pPr>
        <w:spacing w:after="0" w:line="260"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We cannot assure you that you will receive the voting materials in time to ensure that you can instruct the depositary to vote the Class A common shares underlying your ADSs. In addition, the depositary and its agents are not responsible for failing to carry out voting instructions or for the manner of carrying out voting instructions. This means that you may not be able to exercise voting rights and there may be nothing you can do if the Class A common shares underlying your ADSs are not voted as you requested.</w:t>
      </w:r>
    </w:p>
    <w:p>
      <w:pPr>
        <w:spacing w:after="0" w:line="89" w:lineRule="exact"/>
        <w:rPr>
          <w:sz w:val="20"/>
          <w:szCs w:val="20"/>
          <w:color w:val="auto"/>
        </w:rPr>
      </w:pPr>
    </w:p>
    <w:p>
      <w:pPr>
        <w:ind w:left="1300" w:right="1439" w:firstLine="281"/>
        <w:spacing w:after="0" w:line="261" w:lineRule="auto"/>
        <w:rPr>
          <w:sz w:val="20"/>
          <w:szCs w:val="20"/>
          <w:color w:val="auto"/>
        </w:rPr>
      </w:pPr>
      <w:r>
        <w:rPr>
          <w:rFonts w:ascii="Times New Roman" w:cs="Times New Roman" w:eastAsia="Times New Roman" w:hAnsi="Times New Roman"/>
          <w:sz w:val="14"/>
          <w:szCs w:val="14"/>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b w:val="1"/>
          <w:bCs w:val="1"/>
          <w:color w:val="auto"/>
        </w:rPr>
        <w:t>Persons depositing or withdrawing Class A</w:t>
      </w:r>
    </w:p>
    <w:p>
      <w:pPr>
        <w:jc w:val="both"/>
        <w:ind w:left="1300"/>
        <w:spacing w:after="0" w:line="185" w:lineRule="auto"/>
        <w:tabs>
          <w:tab w:leader="none" w:pos="1880" w:val="left"/>
          <w:tab w:leader="none" w:pos="4440" w:val="left"/>
          <w:tab w:leader="none" w:pos="6020" w:val="left"/>
          <w:tab w:leader="none" w:pos="7680" w:val="left"/>
        </w:tabs>
        <w:rPr>
          <w:sz w:val="20"/>
          <w:szCs w:val="20"/>
          <w:color w:val="auto"/>
        </w:rPr>
      </w:pPr>
      <w:r>
        <w:rPr>
          <w:rFonts w:ascii="Times New Roman" w:cs="Times New Roman" w:eastAsia="Times New Roman" w:hAnsi="Times New Roman"/>
          <w:sz w:val="17"/>
          <w:szCs w:val="17"/>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common shares or ADS holders must pay:</w:t>
      </w:r>
      <w:r>
        <w:rPr>
          <w:sz w:val="20"/>
          <w:szCs w:val="20"/>
          <w:color w:val="auto"/>
        </w:rPr>
        <w:tab/>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wp:posOffset>
            </wp:positionV>
            <wp:extent cx="40620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ind w:left="1300" w:right="500"/>
        <w:spacing w:after="0" w:line="305" w:lineRule="auto"/>
        <w:rPr>
          <w:sz w:val="20"/>
          <w:szCs w:val="20"/>
          <w:color w:val="auto"/>
        </w:rPr>
      </w:pPr>
      <w:r>
        <w:rPr>
          <w:rFonts w:ascii="Times New Roman" w:cs="Times New Roman" w:eastAsia="Times New Roman" w:hAnsi="Times New Roman"/>
          <w:sz w:val="14"/>
          <w:szCs w:val="14"/>
          <w:color w:val="auto"/>
        </w:rPr>
        <w:t>​$5.00 (or less) per 100 ADSs (or portion of 100 ADSs)</w:t>
      </w:r>
    </w:p>
    <w:p>
      <w:pPr>
        <w:spacing w:after="0" w:line="200" w:lineRule="exact"/>
        <w:rPr>
          <w:sz w:val="20"/>
          <w:szCs w:val="20"/>
          <w:color w:val="auto"/>
        </w:rPr>
      </w:pP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ind w:left="1300"/>
        <w:spacing w:after="0"/>
        <w:rPr>
          <w:sz w:val="20"/>
          <w:szCs w:val="20"/>
          <w:color w:val="auto"/>
        </w:rPr>
      </w:pPr>
      <w:r>
        <w:rPr>
          <w:rFonts w:ascii="Times New Roman" w:cs="Times New Roman" w:eastAsia="Times New Roman" w:hAnsi="Times New Roman"/>
          <w:sz w:val="14"/>
          <w:szCs w:val="14"/>
          <w:color w:val="auto"/>
        </w:rPr>
        <w:t>$0.05 (or less) per ADS</w:t>
      </w:r>
    </w:p>
    <w:p>
      <w:pPr>
        <w:ind w:left="1300"/>
        <w:spacing w:after="0" w:line="191" w:lineRule="auto"/>
        <w:rPr>
          <w:sz w:val="20"/>
          <w:szCs w:val="20"/>
          <w:color w:val="auto"/>
        </w:rPr>
      </w:pPr>
      <w:r>
        <w:rPr>
          <w:rFonts w:ascii="Times New Roman" w:cs="Times New Roman" w:eastAsia="Times New Roman" w:hAnsi="Times New Roman"/>
          <w:sz w:val="10"/>
          <w:szCs w:val="10"/>
          <w:color w:val="auto"/>
        </w:rPr>
        <w:t>​</w:t>
      </w:r>
    </w:p>
    <w:p>
      <w:pPr>
        <w:ind w:left="1300" w:right="40"/>
        <w:spacing w:after="0"/>
        <w:rPr>
          <w:sz w:val="20"/>
          <w:szCs w:val="20"/>
          <w:color w:val="auto"/>
        </w:rPr>
      </w:pPr>
      <w:r>
        <w:rPr>
          <w:rFonts w:ascii="Times New Roman" w:cs="Times New Roman" w:eastAsia="Times New Roman" w:hAnsi="Times New Roman"/>
          <w:sz w:val="14"/>
          <w:szCs w:val="14"/>
          <w:color w:val="auto"/>
        </w:rPr>
        <w:t>A fee equivalent to the fee that would be payable if securities distributed to the ADS holders had been Class A common shares and the Class A common shares had been deposited for issuance of ADSs ​</w:t>
      </w:r>
    </w:p>
    <w:p>
      <w:pPr>
        <w:spacing w:after="0" w:line="156" w:lineRule="exact"/>
        <w:rPr>
          <w:sz w:val="20"/>
          <w:szCs w:val="20"/>
          <w:color w:val="auto"/>
        </w:rPr>
      </w:pPr>
    </w:p>
    <w:p>
      <w:pPr>
        <w:ind w:left="1300" w:right="680"/>
        <w:spacing w:after="0" w:line="291" w:lineRule="auto"/>
        <w:rPr>
          <w:sz w:val="20"/>
          <w:szCs w:val="20"/>
          <w:color w:val="auto"/>
        </w:rPr>
      </w:pPr>
      <w:r>
        <w:rPr>
          <w:rFonts w:ascii="Times New Roman" w:cs="Times New Roman" w:eastAsia="Times New Roman" w:hAnsi="Times New Roman"/>
          <w:sz w:val="14"/>
          <w:szCs w:val="14"/>
          <w:color w:val="auto"/>
        </w:rPr>
        <w:t>$.05 (or less) per ADS per calendar year ​Registration or transfer fees</w:t>
      </w:r>
    </w:p>
    <w:p>
      <w:pPr>
        <w:spacing w:after="0" w:line="200" w:lineRule="exact"/>
        <w:rPr>
          <w:sz w:val="20"/>
          <w:szCs w:val="20"/>
          <w:color w:val="auto"/>
        </w:rPr>
      </w:pP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ind w:left="1300"/>
        <w:spacing w:after="0"/>
        <w:rPr>
          <w:sz w:val="20"/>
          <w:szCs w:val="20"/>
          <w:color w:val="auto"/>
        </w:rPr>
      </w:pPr>
      <w:r>
        <w:rPr>
          <w:rFonts w:ascii="Times New Roman" w:cs="Times New Roman" w:eastAsia="Times New Roman" w:hAnsi="Times New Roman"/>
          <w:sz w:val="14"/>
          <w:szCs w:val="14"/>
          <w:color w:val="auto"/>
        </w:rPr>
        <w:t>Expenses of the depositary</w:t>
      </w:r>
    </w:p>
    <w:p>
      <w:pPr>
        <w:spacing w:after="0" w:line="200" w:lineRule="exact"/>
        <w:rPr>
          <w:sz w:val="20"/>
          <w:szCs w:val="20"/>
          <w:color w:val="auto"/>
        </w:rPr>
      </w:pPr>
    </w:p>
    <w:p>
      <w:pPr>
        <w:spacing w:after="0" w:line="275" w:lineRule="exact"/>
        <w:rPr>
          <w:sz w:val="20"/>
          <w:szCs w:val="20"/>
          <w:color w:val="auto"/>
        </w:rPr>
      </w:pPr>
    </w:p>
    <w:p>
      <w:pPr>
        <w:ind w:left="1300" w:right="20"/>
        <w:spacing w:after="0" w:line="268" w:lineRule="auto"/>
        <w:rPr>
          <w:sz w:val="20"/>
          <w:szCs w:val="20"/>
          <w:color w:val="auto"/>
        </w:rPr>
      </w:pPr>
      <w:r>
        <w:rPr>
          <w:rFonts w:ascii="Times New Roman" w:cs="Times New Roman" w:eastAsia="Times New Roman" w:hAnsi="Times New Roman"/>
          <w:sz w:val="14"/>
          <w:szCs w:val="14"/>
          <w:color w:val="auto"/>
        </w:rPr>
        <w:t>​Taxes and other governmental charges the depositary or the custodian has to pay on any ADSs or Class A common shares underlying ADSs, such as stock transfer taxes, stamp duty or withholding taxes</w:t>
      </w: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ind w:left="1300"/>
        <w:spacing w:after="0" w:line="259" w:lineRule="auto"/>
        <w:rPr>
          <w:sz w:val="20"/>
          <w:szCs w:val="20"/>
          <w:color w:val="auto"/>
        </w:rPr>
      </w:pPr>
      <w:r>
        <w:rPr>
          <w:rFonts w:ascii="Times New Roman" w:cs="Times New Roman" w:eastAsia="Times New Roman" w:hAnsi="Times New Roman"/>
          <w:sz w:val="14"/>
          <w:szCs w:val="14"/>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160" w:right="240" w:hanging="160"/>
        <w:spacing w:after="0" w:line="278" w:lineRule="auto"/>
        <w:tabs>
          <w:tab w:leader="none" w:pos="7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Issuance of ADSs, including issuances resulting from a distribution of Class A common shares or rights or other property</w:t>
      </w:r>
    </w:p>
    <w:p>
      <w:pPr>
        <w:spacing w:after="0" w:line="44"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4"/>
          <w:szCs w:val="14"/>
          <w:color w:val="auto"/>
        </w:rPr>
        <w:t>Cancellation of ADSs for the purpose of withdrawal, including if the deposit agreement terminates</w:t>
      </w:r>
    </w:p>
    <w:p>
      <w:pPr>
        <w:spacing w:after="0" w:line="1" w:lineRule="exact"/>
        <w:rPr>
          <w:sz w:val="20"/>
          <w:szCs w:val="20"/>
          <w:color w:val="auto"/>
        </w:rPr>
      </w:pPr>
    </w:p>
    <w:p>
      <w:pPr>
        <w:ind w:left="80" w:hanging="80"/>
        <w:spacing w:after="0"/>
        <w:tabs>
          <w:tab w:leader="none" w:pos="8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Any cash distribution to ADS holders</w:t>
      </w:r>
    </w:p>
    <w:p>
      <w:pPr>
        <w:spacing w:after="0" w:line="44" w:lineRule="exact"/>
        <w:rPr>
          <w:rFonts w:ascii="Times New Roman" w:cs="Times New Roman" w:eastAsia="Times New Roman" w:hAnsi="Times New Roman"/>
          <w:sz w:val="28"/>
          <w:szCs w:val="28"/>
          <w:color w:val="auto"/>
          <w:vertAlign w:val="superscript"/>
        </w:rPr>
      </w:pPr>
    </w:p>
    <w:p>
      <w:pPr>
        <w:ind w:left="160" w:right="200" w:hanging="160"/>
        <w:spacing w:after="0" w:line="188" w:lineRule="auto"/>
        <w:tabs>
          <w:tab w:leader="none" w:pos="76"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Distribution of securities distributed to holders of deposited securities (including rights) that are distributed by the depositary to ADS holders</w:t>
      </w:r>
    </w:p>
    <w:p>
      <w:pPr>
        <w:spacing w:after="0" w:line="137" w:lineRule="exact"/>
        <w:rPr>
          <w:rFonts w:ascii="Times New Roman" w:cs="Times New Roman" w:eastAsia="Times New Roman" w:hAnsi="Times New Roman"/>
          <w:sz w:val="28"/>
          <w:szCs w:val="28"/>
          <w:color w:val="auto"/>
          <w:vertAlign w:val="superscript"/>
        </w:rPr>
      </w:pPr>
    </w:p>
    <w:p>
      <w:pPr>
        <w:ind w:left="80" w:hanging="80"/>
        <w:spacing w:after="0"/>
        <w:tabs>
          <w:tab w:leader="none" w:pos="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ind w:left="160"/>
        <w:spacing w:after="0"/>
        <w:rPr>
          <w:sz w:val="20"/>
          <w:szCs w:val="20"/>
          <w:color w:val="auto"/>
        </w:rPr>
      </w:pPr>
      <w:r>
        <w:rPr>
          <w:rFonts w:ascii="Times New Roman" w:cs="Times New Roman" w:eastAsia="Times New Roman" w:hAnsi="Times New Roman"/>
          <w:sz w:val="14"/>
          <w:szCs w:val="14"/>
          <w:color w:val="auto"/>
        </w:rPr>
        <w:t>Depositary services</w:t>
      </w:r>
    </w:p>
    <w:p>
      <w:pPr>
        <w:spacing w:after="0" w:line="6" w:lineRule="exact"/>
        <w:rPr>
          <w:sz w:val="20"/>
          <w:szCs w:val="20"/>
          <w:color w:val="auto"/>
        </w:rPr>
      </w:pPr>
    </w:p>
    <w:p>
      <w:pPr>
        <w:ind w:left="160" w:right="60" w:hanging="160"/>
        <w:spacing w:after="0" w:line="232" w:lineRule="auto"/>
        <w:tabs>
          <w:tab w:leader="none" w:pos="76"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Transfer and registration of Class A common shares on our share register to or from the name of the depositary or its agent when you deposit or withdraw Class A common shares</w:t>
      </w:r>
    </w:p>
    <w:p>
      <w:pPr>
        <w:spacing w:after="0" w:line="80" w:lineRule="exact"/>
        <w:rPr>
          <w:rFonts w:ascii="Times New Roman" w:cs="Times New Roman" w:eastAsia="Times New Roman" w:hAnsi="Times New Roman"/>
          <w:sz w:val="28"/>
          <w:szCs w:val="28"/>
          <w:color w:val="auto"/>
          <w:vertAlign w:val="superscript"/>
        </w:rPr>
      </w:pPr>
    </w:p>
    <w:p>
      <w:pPr>
        <w:ind w:left="160" w:right="120" w:hanging="160"/>
        <w:spacing w:after="0" w:line="216" w:lineRule="auto"/>
        <w:tabs>
          <w:tab w:leader="none" w:pos="76"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Cable and facsimile transmissions (when expressly provided in the deposit agreement)</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Converting foreign currency to U.S. dollars</w:t>
      </w:r>
    </w:p>
    <w:p>
      <w:pPr>
        <w:spacing w:after="0" w:line="49" w:lineRule="exact"/>
        <w:rPr>
          <w:sz w:val="20"/>
          <w:szCs w:val="20"/>
          <w:color w:val="auto"/>
        </w:rPr>
      </w:pPr>
    </w:p>
    <w:p>
      <w:pPr>
        <w:ind w:left="80" w:hanging="80"/>
        <w:spacing w:after="0"/>
        <w:tabs>
          <w:tab w:leader="none" w:pos="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necessary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2" w:lineRule="exact"/>
        <w:rPr>
          <w:rFonts w:ascii="Times New Roman" w:cs="Times New Roman" w:eastAsia="Times New Roman" w:hAnsi="Times New Roman"/>
          <w:sz w:val="14"/>
          <w:szCs w:val="14"/>
          <w:color w:val="auto"/>
        </w:rPr>
      </w:pPr>
    </w:p>
    <w:p>
      <w:pPr>
        <w:ind w:left="80" w:hanging="80"/>
        <w:spacing w:after="0"/>
        <w:tabs>
          <w:tab w:leader="none" w:pos="8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As necessary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6" w:lineRule="exact"/>
        <w:rPr>
          <w:sz w:val="20"/>
          <w:szCs w:val="20"/>
          <w:color w:val="auto"/>
        </w:rPr>
      </w:pPr>
    </w:p>
    <w:p>
      <w:pPr>
        <w:sectPr>
          <w:pgSz w:w="11900" w:h="16838" w:orient="portrait"/>
          <w:cols w:equalWidth="0" w:num="3">
            <w:col w:w="4360" w:space="60"/>
            <w:col w:w="3280" w:space="0"/>
            <w:col w:w="1319"/>
          </w:cols>
          <w:pgMar w:left="1440" w:top="107" w:right="1440" w:bottom="1440" w:gutter="0" w:footer="0" w:header="0"/>
          <w:type w:val="continuous"/>
        </w:sectPr>
      </w:pPr>
    </w:p>
    <w:p>
      <w:pPr>
        <w:ind w:left="1300" w:right="1379" w:firstLine="281"/>
        <w:spacing w:after="0" w:line="255" w:lineRule="auto"/>
        <w:rPr>
          <w:sz w:val="20"/>
          <w:szCs w:val="20"/>
          <w:color w:val="auto"/>
        </w:rPr>
      </w:pPr>
      <w:r>
        <w:rPr>
          <w:rFonts w:ascii="Times New Roman" w:cs="Times New Roman" w:eastAsia="Times New Roman" w:hAnsi="Times New Roman"/>
          <w:sz w:val="14"/>
          <w:szCs w:val="14"/>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81"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92" w:lineRule="exact"/>
        <w:rPr>
          <w:sz w:val="20"/>
          <w:szCs w:val="20"/>
          <w:color w:val="auto"/>
        </w:rPr>
      </w:pPr>
    </w:p>
    <w:p>
      <w:pPr>
        <w:ind w:left="1300" w:right="1319" w:firstLine="281"/>
        <w:spacing w:after="0" w:line="267" w:lineRule="auto"/>
        <w:rPr>
          <w:sz w:val="20"/>
          <w:szCs w:val="20"/>
          <w:color w:val="auto"/>
        </w:rPr>
      </w:pPr>
      <w:r>
        <w:rPr>
          <w:rFonts w:ascii="Times New Roman" w:cs="Times New Roman" w:eastAsia="Times New Roman" w:hAnsi="Times New Roman"/>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42" w:name="page43"/>
    <w:bookmarkEnd w:id="4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55" w:lineRule="auto"/>
        <w:rPr>
          <w:sz w:val="20"/>
          <w:szCs w:val="20"/>
          <w:color w:val="auto"/>
        </w:rPr>
      </w:pPr>
      <w:r>
        <w:rPr>
          <w:rFonts w:ascii="Times New Roman" w:cs="Times New Roman" w:eastAsia="Times New Roman" w:hAnsi="Times New Roman"/>
          <w:sz w:val="14"/>
          <w:szCs w:val="14"/>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125" w:lineRule="exact"/>
        <w:rPr>
          <w:sz w:val="20"/>
          <w:szCs w:val="20"/>
          <w:color w:val="auto"/>
        </w:rPr>
      </w:pPr>
    </w:p>
    <w:p>
      <w:pPr>
        <w:ind w:left="1300" w:right="1379" w:firstLine="281"/>
        <w:spacing w:after="0" w:line="256" w:lineRule="auto"/>
        <w:rPr>
          <w:sz w:val="20"/>
          <w:szCs w:val="20"/>
          <w:color w:val="auto"/>
        </w:rPr>
      </w:pPr>
      <w:r>
        <w:rPr>
          <w:rFonts w:ascii="Times New Roman" w:cs="Times New Roman" w:eastAsia="Times New Roman" w:hAnsi="Times New Roman"/>
          <w:sz w:val="14"/>
          <w:szCs w:val="14"/>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Tender and Exchange Offers; Redemption, Replacement or Cancellation of Deposited Securities</w:t>
      </w:r>
    </w:p>
    <w:p>
      <w:pPr>
        <w:spacing w:after="0" w:line="125" w:lineRule="exact"/>
        <w:rPr>
          <w:sz w:val="20"/>
          <w:szCs w:val="20"/>
          <w:color w:val="auto"/>
        </w:rPr>
      </w:pPr>
    </w:p>
    <w:p>
      <w:pPr>
        <w:ind w:left="1300" w:right="1579" w:firstLine="281"/>
        <w:spacing w:after="0" w:line="267" w:lineRule="auto"/>
        <w:rPr>
          <w:sz w:val="20"/>
          <w:szCs w:val="20"/>
          <w:color w:val="auto"/>
        </w:rPr>
      </w:pPr>
      <w:r>
        <w:rPr>
          <w:rFonts w:ascii="Times New Roman" w:cs="Times New Roman" w:eastAsia="Times New Roman" w:hAnsi="Times New Roman"/>
          <w:sz w:val="14"/>
          <w:szCs w:val="14"/>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73" w:lineRule="exact"/>
        <w:rPr>
          <w:sz w:val="20"/>
          <w:szCs w:val="20"/>
          <w:color w:val="auto"/>
        </w:rPr>
      </w:pPr>
    </w:p>
    <w:p>
      <w:pPr>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84" w:lineRule="exact"/>
        <w:rPr>
          <w:sz w:val="20"/>
          <w:szCs w:val="20"/>
          <w:color w:val="auto"/>
        </w:rPr>
      </w:pPr>
    </w:p>
    <w:p>
      <w:pPr>
        <w:ind w:left="1300" w:right="1439" w:firstLine="281"/>
        <w:spacing w:after="0" w:line="255" w:lineRule="auto"/>
        <w:rPr>
          <w:sz w:val="20"/>
          <w:szCs w:val="20"/>
          <w:color w:val="auto"/>
        </w:rPr>
      </w:pPr>
      <w:r>
        <w:rPr>
          <w:rFonts w:ascii="Times New Roman" w:cs="Times New Roman" w:eastAsia="Times New Roman" w:hAnsi="Times New Roman"/>
          <w:sz w:val="14"/>
          <w:szCs w:val="14"/>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4" w:lineRule="exact"/>
        <w:rPr>
          <w:sz w:val="20"/>
          <w:szCs w:val="20"/>
          <w:color w:val="auto"/>
        </w:rPr>
      </w:pPr>
    </w:p>
    <w:p>
      <w:pPr>
        <w:ind w:left="1300" w:right="1339" w:firstLine="281"/>
        <w:spacing w:after="0" w:line="264" w:lineRule="auto"/>
        <w:rPr>
          <w:sz w:val="20"/>
          <w:szCs w:val="20"/>
          <w:color w:val="auto"/>
        </w:rPr>
      </w:pPr>
      <w:r>
        <w:rPr>
          <w:rFonts w:ascii="Times New Roman" w:cs="Times New Roman" w:eastAsia="Times New Roman" w:hAnsi="Times New Roman"/>
          <w:sz w:val="14"/>
          <w:szCs w:val="14"/>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47" w:lineRule="exact"/>
        <w:rPr>
          <w:sz w:val="20"/>
          <w:szCs w:val="20"/>
          <w:color w:val="auto"/>
        </w:rPr>
      </w:pPr>
    </w:p>
    <w:p>
      <w:pPr>
        <w:ind w:left="1300" w:right="1319" w:firstLine="281"/>
        <w:spacing w:after="0" w:line="267" w:lineRule="auto"/>
        <w:rPr>
          <w:sz w:val="20"/>
          <w:szCs w:val="20"/>
          <w:color w:val="auto"/>
        </w:rPr>
      </w:pPr>
      <w:r>
        <w:rPr>
          <w:rFonts w:ascii="Times New Roman" w:cs="Times New Roman" w:eastAsia="Times New Roman" w:hAnsi="Times New Roman"/>
          <w:sz w:val="14"/>
          <w:szCs w:val="14"/>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125"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w:t>
      </w:r>
    </w:p>
    <w:p>
      <w:pPr>
        <w:spacing w:after="0" w:line="1" w:lineRule="exact"/>
        <w:rPr>
          <w:sz w:val="20"/>
          <w:szCs w:val="20"/>
          <w:color w:val="auto"/>
        </w:rPr>
      </w:pPr>
    </w:p>
    <w:p>
      <w:pPr>
        <w:ind w:left="1300" w:right="1419"/>
        <w:spacing w:after="0" w:line="256" w:lineRule="auto"/>
        <w:rPr>
          <w:sz w:val="20"/>
          <w:szCs w:val="20"/>
          <w:color w:val="auto"/>
        </w:rPr>
      </w:pPr>
      <w:r>
        <w:rPr>
          <w:rFonts w:ascii="Times New Roman" w:cs="Times New Roman" w:eastAsia="Times New Roman" w:hAnsi="Times New Roman"/>
          <w:sz w:val="14"/>
          <w:szCs w:val="14"/>
          <w:color w:val="auto"/>
        </w:rPr>
        <w:t xml:space="preserve">30 days after the depositary notifies ADS holders of the amendment. </w:t>
      </w:r>
      <w:r>
        <w:rPr>
          <w:rFonts w:ascii="Times New Roman" w:cs="Times New Roman" w:eastAsia="Times New Roman" w:hAnsi="Times New Roman"/>
          <w:sz w:val="14"/>
          <w:szCs w:val="14"/>
          <w:i w:val="1"/>
          <w:iCs w:val="1"/>
          <w:color w:val="auto"/>
        </w:rPr>
        <w:t>At the time an amendment becomes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effective, you are considered, by continuing to hold your ADSs, to agree to the amendment and to be bound by the ADRs and the deposit agreement as amended</w:t>
      </w:r>
      <w:r>
        <w:rPr>
          <w:rFonts w:ascii="Times New Roman" w:cs="Times New Roman" w:eastAsia="Times New Roman" w:hAnsi="Times New Roman"/>
          <w:sz w:val="14"/>
          <w:szCs w:val="14"/>
          <w:color w:val="auto"/>
        </w:rPr>
        <w:t>.</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terminated?</w:t>
      </w:r>
    </w:p>
    <w:p>
      <w:pPr>
        <w:spacing w:after="0" w:line="125" w:lineRule="exact"/>
        <w:rPr>
          <w:sz w:val="20"/>
          <w:szCs w:val="20"/>
          <w:color w:val="auto"/>
        </w:rPr>
      </w:pPr>
    </w:p>
    <w:p>
      <w:pPr>
        <w:ind w:left="1300" w:right="1899" w:firstLine="281"/>
        <w:spacing w:after="0" w:line="283" w:lineRule="auto"/>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41" w:lineRule="exact"/>
        <w:rPr>
          <w:sz w:val="20"/>
          <w:szCs w:val="20"/>
          <w:color w:val="auto"/>
        </w:rPr>
      </w:pPr>
    </w:p>
    <w:p>
      <w:pPr>
        <w:ind w:left="1720" w:right="137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days have passed since the depositary told us it wants to resign but a successor depositary has not been appointed and accepted its appointment;</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the ADSs from a securities exchange on which they were listed and do not list the ADSs on another securities exchange;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appear to be insolvent or enter insolvency proceedings;</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the value of the deposited securities has been distributed either in cash or in the form of securities;</w:t>
      </w:r>
    </w:p>
    <w:p>
      <w:pPr>
        <w:spacing w:after="0" w:line="5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deposited securities underlying the ADSs or the underlying deposited securities have become apparently worthless; or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replacement of deposited securities.</w:t>
      </w:r>
    </w:p>
    <w:p>
      <w:pPr>
        <w:spacing w:after="0" w:line="113"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92"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Limits on Liability to Holders of ADSs</w:t>
      </w:r>
    </w:p>
    <w:p>
      <w:pPr>
        <w:spacing w:after="0" w:line="125" w:lineRule="exact"/>
        <w:rPr>
          <w:sz w:val="20"/>
          <w:szCs w:val="20"/>
          <w:color w:val="auto"/>
        </w:rPr>
      </w:pPr>
    </w:p>
    <w:p>
      <w:pPr>
        <w:ind w:left="1300" w:right="1579" w:firstLine="281"/>
        <w:spacing w:after="0" w:line="283"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We and the depositary:</w:t>
      </w:r>
    </w:p>
    <w:p>
      <w:pPr>
        <w:spacing w:after="0" w:line="41" w:lineRule="exact"/>
        <w:rPr>
          <w:sz w:val="20"/>
          <w:szCs w:val="20"/>
          <w:color w:val="auto"/>
        </w:rPr>
      </w:pPr>
    </w:p>
    <w:p>
      <w:pPr>
        <w:ind w:left="1720" w:right="1699" w:hanging="134"/>
        <w:spacing w:after="0" w:line="267"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set forth in the deposit agreement without negligence or bad faith, and the depositary will not be a fiduciary or have any fiduciary duty to holders of ADSs;</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or it exercises discretion permitted under the deposit agreement;</w:t>
      </w:r>
    </w:p>
    <w:p>
      <w:pPr>
        <w:spacing w:after="0" w:line="91" w:lineRule="exact"/>
        <w:rPr>
          <w:rFonts w:ascii="Times New Roman" w:cs="Times New Roman" w:eastAsia="Times New Roman" w:hAnsi="Times New Roman"/>
          <w:sz w:val="14"/>
          <w:szCs w:val="14"/>
          <w:color w:val="auto"/>
        </w:rPr>
      </w:pPr>
    </w:p>
    <w:p>
      <w:pPr>
        <w:ind w:left="1720" w:right="1379" w:hanging="134"/>
        <w:spacing w:after="0" w:line="261"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57"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no obligation to become involved in a lawsuit or other proceeding related to the ADSs or the deposit agreement on your behalf or on behalf of any other person;</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99" w:hanging="134"/>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or it believes in good faith to be genuine and to have been signed or presented by the proper person; and</w:t>
      </w:r>
    </w:p>
    <w:p>
      <w:pPr>
        <w:spacing w:after="0" w:line="62"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acts or omissions of any securities depository, clearing agency or settlement system.</w:t>
      </w:r>
    </w:p>
    <w:p>
      <w:pPr>
        <w:spacing w:after="0" w:line="62"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89" w:lineRule="exact"/>
        <w:rPr>
          <w:sz w:val="20"/>
          <w:szCs w:val="20"/>
          <w:color w:val="auto"/>
        </w:rPr>
      </w:pPr>
    </w:p>
    <w:p>
      <w:pPr>
        <w:ind w:left="1300" w:right="2019" w:firstLine="281"/>
        <w:spacing w:after="0" w:line="283" w:lineRule="auto"/>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125" w:lineRule="exact"/>
        <w:rPr>
          <w:sz w:val="20"/>
          <w:szCs w:val="20"/>
          <w:color w:val="auto"/>
        </w:rPr>
      </w:pPr>
    </w:p>
    <w:p>
      <w:pPr>
        <w:ind w:left="1300" w:right="1699" w:firstLine="281"/>
        <w:spacing w:after="0" w:line="283" w:lineRule="auto"/>
        <w:rPr>
          <w:sz w:val="20"/>
          <w:szCs w:val="20"/>
          <w:color w:val="auto"/>
        </w:rPr>
      </w:pPr>
      <w:r>
        <w:rPr>
          <w:rFonts w:ascii="Times New Roman" w:cs="Times New Roman" w:eastAsia="Times New Roman" w:hAnsi="Times New Roman"/>
          <w:sz w:val="14"/>
          <w:szCs w:val="14"/>
          <w:color w:val="auto"/>
        </w:rPr>
        <w:t>Before the depositary will deliver or register a transfer of ADSs, make a distribution on ADSs, or permit withdrawal of Class A common shares, the depositary may require:</w:t>
      </w:r>
    </w:p>
    <w:p>
      <w:pPr>
        <w:spacing w:after="0" w:line="41" w:lineRule="exact"/>
        <w:rPr>
          <w:sz w:val="20"/>
          <w:szCs w:val="20"/>
          <w:color w:val="auto"/>
        </w:rPr>
      </w:pPr>
    </w:p>
    <w:p>
      <w:pPr>
        <w:ind w:left="1720" w:right="1519" w:hanging="134"/>
        <w:spacing w:after="0" w:line="276"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Class A common shares or other deposited securities;</w:t>
      </w:r>
    </w:p>
    <w:p>
      <w:pPr>
        <w:spacing w:after="0" w:line="229"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other information it deems necessary; and</w:t>
      </w:r>
    </w:p>
    <w:p>
      <w:pPr>
        <w:spacing w:after="0" w:line="51" w:lineRule="exact"/>
        <w:rPr>
          <w:rFonts w:ascii="Times New Roman" w:cs="Times New Roman" w:eastAsia="Times New Roman" w:hAnsi="Times New Roman"/>
          <w:sz w:val="14"/>
          <w:szCs w:val="14"/>
          <w:color w:val="auto"/>
        </w:rPr>
      </w:pPr>
    </w:p>
    <w:p>
      <w:pPr>
        <w:ind w:left="1720" w:right="191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73"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The depositary may refuse to deliver ADSs or register transfers of ADSs when the transfer books of the depositary or our transfer books are closed or at any time if the depositary or we think it advisable to do so.</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your ADSs</w:t>
      </w:r>
    </w:p>
    <w:p>
      <w:pPr>
        <w:spacing w:after="0" w:line="125" w:lineRule="exact"/>
        <w:rPr>
          <w:sz w:val="20"/>
          <w:szCs w:val="20"/>
          <w:color w:val="auto"/>
        </w:rPr>
      </w:pPr>
    </w:p>
    <w:p>
      <w:pPr>
        <w:ind w:left="1300" w:right="1399" w:firstLine="281"/>
        <w:spacing w:after="0" w:line="283" w:lineRule="auto"/>
        <w:rPr>
          <w:sz w:val="20"/>
          <w:szCs w:val="20"/>
          <w:color w:val="auto"/>
        </w:rPr>
      </w:pPr>
      <w:r>
        <w:rPr>
          <w:rFonts w:ascii="Times New Roman" w:cs="Times New Roman" w:eastAsia="Times New Roman" w:hAnsi="Times New Roman"/>
          <w:sz w:val="14"/>
          <w:szCs w:val="14"/>
          <w:color w:val="auto"/>
        </w:rPr>
        <w:t>ADS holders have the right to cancel their ADSs and withdraw the underlying Class A common shares at any time except:</w:t>
      </w:r>
    </w:p>
    <w:p>
      <w:pPr>
        <w:spacing w:after="0" w:line="41" w:lineRule="exact"/>
        <w:rPr>
          <w:sz w:val="20"/>
          <w:szCs w:val="20"/>
          <w:color w:val="auto"/>
        </w:rPr>
      </w:pPr>
    </w:p>
    <w:p>
      <w:pPr>
        <w:ind w:left="1720" w:right="137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(i) the depositary has closed its transfer books or we have closed our transfer books; (ii) the transfer of Class A common shares is blocked to permit voting at a shareholders’ meeting; or (iii) we are paying a dividend on our Class A common shares;</w:t>
      </w:r>
    </w:p>
    <w:p>
      <w:pPr>
        <w:spacing w:after="0" w:line="6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 or</w:t>
      </w:r>
    </w:p>
    <w:p>
      <w:pPr>
        <w:spacing w:after="0" w:line="112" w:lineRule="exact"/>
        <w:rPr>
          <w:rFonts w:ascii="Times New Roman" w:cs="Times New Roman" w:eastAsia="Times New Roman" w:hAnsi="Times New Roman"/>
          <w:sz w:val="14"/>
          <w:szCs w:val="14"/>
          <w:color w:val="auto"/>
        </w:rPr>
      </w:pPr>
    </w:p>
    <w:p>
      <w:pPr>
        <w:ind w:left="1720" w:right="155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ADSs or to the withdrawal of Class A common shares or other deposited securities.</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125" w:lineRule="exact"/>
        <w:rPr>
          <w:sz w:val="20"/>
          <w:szCs w:val="20"/>
          <w:color w:val="auto"/>
        </w:rPr>
      </w:pPr>
    </w:p>
    <w:p>
      <w:pPr>
        <w:jc w:val="both"/>
        <w:ind w:left="1300" w:right="1399" w:firstLine="281"/>
        <w:spacing w:after="0" w:line="256"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w:t>
      </w:r>
    </w:p>
    <w:p>
      <w:pPr>
        <w:spacing w:after="0" w:line="1" w:lineRule="exact"/>
        <w:rPr>
          <w:sz w:val="20"/>
          <w:szCs w:val="20"/>
          <w:color w:val="auto"/>
        </w:rPr>
      </w:pPr>
    </w:p>
    <w:p>
      <w:pPr>
        <w:ind w:left="1300" w:right="1359"/>
        <w:spacing w:after="0" w:line="254" w:lineRule="auto"/>
        <w:rPr>
          <w:sz w:val="20"/>
          <w:szCs w:val="20"/>
          <w:color w:val="auto"/>
        </w:rPr>
      </w:pPr>
      <w:r>
        <w:rPr>
          <w:rFonts w:ascii="Times New Roman" w:cs="Times New Roman" w:eastAsia="Times New Roman" w:hAnsi="Times New Roman"/>
          <w:sz w:val="14"/>
          <w:szCs w:val="14"/>
          <w:color w:val="auto"/>
        </w:rPr>
        <w:t>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Shareholder Communications; Inspection of Register of Holders of ADSs</w:t>
      </w:r>
    </w:p>
    <w:p>
      <w:pPr>
        <w:spacing w:after="0" w:line="12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12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Arbitration Provision</w:t>
      </w:r>
    </w:p>
    <w:p>
      <w:pPr>
        <w:spacing w:after="0" w:line="115"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The deposit agreement gives the depositary or an ADS holder asserting a claim against us the right to require us to submit that claim to binding arbitration in New York under the Rules of the American Arbitration Association, including any securities law claim. However, a claimant could also elect not to submit its claim to arbitration and instead bring its claim in any court having jurisdiction of it. The deposit agreement does not give us the right to require anyone to submit any claim to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25" w:lineRule="exact"/>
        <w:rPr>
          <w:sz w:val="20"/>
          <w:szCs w:val="20"/>
          <w:color w:val="auto"/>
        </w:rPr>
      </w:pPr>
    </w:p>
    <w:p>
      <w:pPr>
        <w:ind w:left="1300" w:right="1539" w:firstLine="281"/>
        <w:spacing w:after="0" w:line="259" w:lineRule="auto"/>
        <w:rPr>
          <w:sz w:val="20"/>
          <w:szCs w:val="20"/>
          <w:color w:val="auto"/>
        </w:rPr>
      </w:pPr>
      <w:r>
        <w:rPr>
          <w:rFonts w:ascii="Times New Roman" w:cs="Times New Roman" w:eastAsia="Times New Roman" w:hAnsi="Times New Roman"/>
          <w:sz w:val="14"/>
          <w:szCs w:val="14"/>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47" w:lineRule="exact"/>
        <w:rPr>
          <w:sz w:val="20"/>
          <w:szCs w:val="20"/>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stability;</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effective judicial system;</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favorable tax system;</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exchange control or currency restrictions;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professional and support services.</w:t>
      </w:r>
    </w:p>
    <w:p>
      <w:pPr>
        <w:spacing w:after="0" w:line="113" w:lineRule="exact"/>
        <w:rPr>
          <w:sz w:val="20"/>
          <w:szCs w:val="20"/>
          <w:color w:val="auto"/>
        </w:rPr>
      </w:pPr>
    </w:p>
    <w:p>
      <w:pPr>
        <w:ind w:left="1300" w:right="1419" w:firstLine="281"/>
        <w:spacing w:after="0" w:line="259" w:lineRule="auto"/>
        <w:rPr>
          <w:sz w:val="20"/>
          <w:szCs w:val="20"/>
          <w:color w:val="auto"/>
        </w:rPr>
      </w:pPr>
      <w:r>
        <w:rPr>
          <w:rFonts w:ascii="Times New Roman" w:cs="Times New Roman" w:eastAsia="Times New Roman" w:hAnsi="Times New Roman"/>
          <w:sz w:val="14"/>
          <w:szCs w:val="14"/>
          <w:color w:val="auto"/>
        </w:rPr>
        <w:t>However, certain disadvantages accompany incorporation in the Cayman Islands. The Cayman Islands has a less developed body of securities laws as compared to the United States and these securities laws provide significantly less protection to investors as compared to the United States.</w:t>
      </w:r>
    </w:p>
    <w:p>
      <w:pPr>
        <w:spacing w:after="0" w:line="79"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79"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Substantially all of our assets are located in mainland China. All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53" w:lineRule="exact"/>
        <w:rPr>
          <w:sz w:val="20"/>
          <w:szCs w:val="20"/>
          <w:color w:val="auto"/>
        </w:rPr>
      </w:pPr>
    </w:p>
    <w:p>
      <w:pPr>
        <w:jc w:val="both"/>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We have appointed Puglisi &amp; Associates, located at 850 Library Avenue, Suite 204, Newark, DE 19711, as our agent upon whom process may be served in any action brought against us under the securities laws of the United States.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125" w:lineRule="exact"/>
        <w:rPr>
          <w:sz w:val="20"/>
          <w:szCs w:val="20"/>
          <w:color w:val="auto"/>
        </w:rPr>
      </w:pPr>
    </w:p>
    <w:p>
      <w:pPr>
        <w:ind w:left="1300" w:right="1379" w:firstLine="281"/>
        <w:spacing w:after="0" w:line="245" w:lineRule="auto"/>
        <w:rPr>
          <w:sz w:val="20"/>
          <w:szCs w:val="20"/>
          <w:color w:val="auto"/>
        </w:rPr>
      </w:pPr>
      <w:r>
        <w:rPr>
          <w:rFonts w:ascii="Times New Roman" w:cs="Times New Roman" w:eastAsia="Times New Roman" w:hAnsi="Times New Roman"/>
          <w:sz w:val="14"/>
          <w:szCs w:val="14"/>
          <w:color w:val="auto"/>
        </w:rPr>
        <w:t>Maples and Calder (Hong Kong) LLP, our counsel as to Cayman Islands law,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or (ii) in original actions brought in the Cayman Islands to impose liabilities against us or our directors or officers that are predicated upon the civil liability provisions of federal securities laws of the United States or the securities laws of any state in the United States.</w:t>
      </w:r>
    </w:p>
    <w:p>
      <w:pPr>
        <w:spacing w:after="0" w:line="91"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and (iii) is not inconsistent with a Cayman Islands judgment in respect of the same matter, (iv)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PRC</w:t>
      </w:r>
    </w:p>
    <w:p>
      <w:pPr>
        <w:spacing w:after="0" w:line="125"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Han Kun Law Offices, our counsel as to PRC law, has advised us that there is uncertainty as to whether the courts of mainland China would:</w:t>
      </w:r>
    </w:p>
    <w:p>
      <w:pPr>
        <w:spacing w:after="0" w:line="41" w:lineRule="exact"/>
        <w:rPr>
          <w:sz w:val="20"/>
          <w:szCs w:val="20"/>
          <w:color w:val="auto"/>
        </w:rPr>
      </w:pPr>
    </w:p>
    <w:p>
      <w:pPr>
        <w:ind w:left="1720" w:right="1559" w:hanging="134"/>
        <w:spacing w:after="0" w:line="267"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1"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each respective jurisdiction against us or our directors or officers predicated upon the securities laws of the United States or any state in the United States.</w:t>
      </w:r>
    </w:p>
    <w:p>
      <w:pPr>
        <w:spacing w:after="0" w:line="73"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mainland China and the country where the judgment is made or on principles of reciprocity between jurisdictions. Mainland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common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25" w:lineRule="exact"/>
        <w:rPr>
          <w:sz w:val="20"/>
          <w:szCs w:val="20"/>
          <w:color w:val="auto"/>
        </w:rPr>
      </w:pPr>
    </w:p>
    <w:p>
      <w:pPr>
        <w:ind w:left="1300" w:right="1459" w:firstLine="281"/>
        <w:spacing w:after="0" w:line="256" w:lineRule="auto"/>
        <w:rPr>
          <w:sz w:val="20"/>
          <w:szCs w:val="20"/>
          <w:color w:val="auto"/>
        </w:rPr>
      </w:pPr>
      <w:r>
        <w:rPr>
          <w:rFonts w:ascii="Times New Roman" w:cs="Times New Roman" w:eastAsia="Times New Roman" w:hAnsi="Times New Roman"/>
          <w:sz w:val="14"/>
          <w:szCs w:val="14"/>
          <w:color w:val="auto"/>
        </w:rPr>
        <w:t>We will incur a SEC registration fee of US$692.35, and will also incur printing costs, legal fees and expenses, accounting fees and expenses, and others in connection with the offering of securities. Expenses of any of the securities offered by this prospectus will be set forth in the applicable prospectus supplement(s) relating to the offering of those securities. We will pay all expenses in connection with the distribution of the common shares being sold by the selling securityholder, except for the underwriting discounts and selling commissions payable by, and all legal fees and expenses of legal counsel for, the selling securityholder,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39" w:firstLine="281"/>
        <w:spacing w:after="0" w:line="256" w:lineRule="auto"/>
        <w:rPr>
          <w:sz w:val="20"/>
          <w:szCs w:val="20"/>
          <w:color w:val="auto"/>
        </w:rPr>
      </w:pPr>
      <w:r>
        <w:rPr>
          <w:rFonts w:ascii="Times New Roman" w:cs="Times New Roman" w:eastAsia="Times New Roman" w:hAnsi="Times New Roman"/>
          <w:sz w:val="14"/>
          <w:szCs w:val="14"/>
          <w:color w:val="auto"/>
        </w:rPr>
        <w:t>We are being represented by Skadden, Arps, Slate, Meagher &amp; Flom LLP with respect to certain legal matters as to United States federal securities and New York State law. The validity of the Class A common shares represented by the ADSs offered in this offering and legal matters as to Cayman Islands law will be passed upon for us by Maples and Calder (Hong Kong) LLP. Certain legal matters as to PRC law will be passed upon for us by Han Kun Law Offices. Skadden, Arps, Slate, Meagher &amp; 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59" w:firstLine="281"/>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Aurora Mobile Limited appearing in Aurora Mobile Limited’s Annual Report (Form 20-F) for the year ended December 31, 2025,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61" w:lineRule="exact"/>
        <w:rPr>
          <w:sz w:val="20"/>
          <w:szCs w:val="20"/>
          <w:color w:val="auto"/>
        </w:rPr>
      </w:pPr>
    </w:p>
    <w:p>
      <w:pPr>
        <w:ind w:left="1300" w:right="1799" w:firstLine="281"/>
        <w:spacing w:after="0" w:line="283" w:lineRule="auto"/>
        <w:rPr>
          <w:sz w:val="20"/>
          <w:szCs w:val="20"/>
          <w:color w:val="auto"/>
        </w:rPr>
      </w:pPr>
      <w:r>
        <w:rPr>
          <w:rFonts w:ascii="Times New Roman" w:cs="Times New Roman" w:eastAsia="Times New Roman" w:hAnsi="Times New Roman"/>
          <w:sz w:val="14"/>
          <w:szCs w:val="14"/>
          <w:color w:val="auto"/>
        </w:rPr>
        <w:t>The office of Ernst &amp; Young Hua Ming LLP is located at 21st Floor, China Resources Building, No. 5001 Shennan Dong Road, Shenzhen 518001,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 xml:space="preserve">We are subject to the periodic reporting and other information requirements of the Exchange Act, as applicable to the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As a foreign private issuer, we are exempt from the rules of the Exchange Act prescribing the furnishing and content of quarterly reports and proxy statements, and our executive officers, directors and principal shareholders are exempt from the short-swing profit recovery provisions (and also the reporting provisions in the case of our principal shareholders)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 w:cs="Times New Roman" w:eastAsia="Times New Roman" w:hAnsi="Times New Roman"/>
          <w:sz w:val="14"/>
          <w:szCs w:val="14"/>
          <w:i w:val="1"/>
          <w:iCs w:val="1"/>
          <w:color w:val="auto"/>
        </w:rPr>
        <w:t>https://ir.jiguang.cn</w:t>
      </w:r>
      <w:r>
        <w:rPr>
          <w:rFonts w:ascii="Times New Roman" w:cs="Times New Roman" w:eastAsia="Times New Roman" w:hAnsi="Times New Roman"/>
          <w:sz w:val="14"/>
          <w:szCs w:val="14"/>
          <w:color w:val="auto"/>
        </w:rPr>
        <w:t>. The information contained on our website is not a part of this prospectus.</w:t>
      </w:r>
    </w:p>
    <w:p>
      <w:pPr>
        <w:spacing w:after="0" w:line="100" w:lineRule="exact"/>
        <w:rPr>
          <w:sz w:val="20"/>
          <w:szCs w:val="20"/>
          <w:color w:val="auto"/>
        </w:rPr>
      </w:pPr>
    </w:p>
    <w:p>
      <w:pPr>
        <w:ind w:left="1300" w:right="1359" w:firstLine="281"/>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25"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spacing w:after="0" w:line="10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incorporate by reference the documents listed below:</w:t>
      </w:r>
    </w:p>
    <w:p>
      <w:pPr>
        <w:spacing w:after="0" w:line="92" w:lineRule="exact"/>
        <w:rPr>
          <w:sz w:val="20"/>
          <w:szCs w:val="20"/>
          <w:color w:val="auto"/>
        </w:rPr>
      </w:pPr>
    </w:p>
    <w:p>
      <w:pPr>
        <w:ind w:left="1720" w:right="1459" w:hanging="134"/>
        <w:spacing w:after="0" w:line="283" w:lineRule="auto"/>
        <w:tabs>
          <w:tab w:leader="none" w:pos="1720" w:val="left"/>
        </w:tabs>
        <w:numPr>
          <w:ilvl w:val="0"/>
          <w:numId w:val="36"/>
        </w:numPr>
        <w:rPr>
          <w:rFonts w:ascii="Times New Roman" w:cs="Times New Roman" w:eastAsia="Times New Roman" w:hAnsi="Times New Roman"/>
          <w:sz w:val="14"/>
          <w:szCs w:val="14"/>
          <w:u w:val="single" w:color="auto"/>
          <w:color w:val="0000EE"/>
        </w:rPr>
      </w:pPr>
      <w:hyperlink r:id="rId104">
        <w:r>
          <w:rPr>
            <w:rFonts w:ascii="Times New Roman" w:cs="Times New Roman" w:eastAsia="Times New Roman" w:hAnsi="Times New Roman"/>
            <w:sz w:val="14"/>
            <w:szCs w:val="14"/>
            <w:u w:val="single" w:color="auto"/>
            <w:color w:val="0000EE"/>
          </w:rPr>
          <w:t>our annual report on Form 20-F for the fiscal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104">
        <w:r>
          <w:rPr>
            <w:rFonts w:ascii="Times New Roman" w:cs="Times New Roman" w:eastAsia="Times New Roman" w:hAnsi="Times New Roman"/>
            <w:sz w:val="14"/>
            <w:szCs w:val="14"/>
            <w:u w:val="single" w:color="auto"/>
            <w:color w:val="0000EE"/>
          </w:rPr>
          <w:t>March 27, 2026 (File No. 001-38587);</w:t>
        </w:r>
      </w:hyperlink>
    </w:p>
    <w:p>
      <w:pPr>
        <w:spacing w:after="0" w:line="41" w:lineRule="exact"/>
        <w:rPr>
          <w:rFonts w:ascii="Times New Roman" w:cs="Times New Roman" w:eastAsia="Times New Roman" w:hAnsi="Times New Roman"/>
          <w:sz w:val="14"/>
          <w:szCs w:val="14"/>
          <w:u w:val="single" w:color="auto"/>
          <w:color w:val="0000EE"/>
        </w:rPr>
      </w:pPr>
    </w:p>
    <w:p>
      <w:pPr>
        <w:ind w:left="1720" w:hanging="134"/>
        <w:spacing w:after="0"/>
        <w:tabs>
          <w:tab w:leader="none" w:pos="1720" w:val="left"/>
        </w:tabs>
        <w:numPr>
          <w:ilvl w:val="0"/>
          <w:numId w:val="36"/>
        </w:numPr>
        <w:rPr>
          <w:rFonts w:ascii="Times New Roman" w:cs="Times New Roman" w:eastAsia="Times New Roman" w:hAnsi="Times New Roman"/>
          <w:sz w:val="14"/>
          <w:szCs w:val="14"/>
          <w:u w:val="single" w:color="auto"/>
          <w:color w:val="0000EE"/>
        </w:rPr>
      </w:pPr>
      <w:hyperlink r:id="rId105">
        <w:r>
          <w:rPr>
            <w:rFonts w:ascii="Times New Roman" w:cs="Times New Roman" w:eastAsia="Times New Roman" w:hAnsi="Times New Roman"/>
            <w:sz w:val="14"/>
            <w:szCs w:val="14"/>
            <w:u w:val="single" w:color="auto"/>
            <w:color w:val="0000EE"/>
          </w:rPr>
          <w:t>our current report on Form 6-K furnished to the SEC on February 11, 2026;</w:t>
        </w:r>
      </w:hyperlink>
    </w:p>
    <w:p>
      <w:pPr>
        <w:spacing w:after="0" w:line="91" w:lineRule="exact"/>
        <w:rPr>
          <w:rFonts w:ascii="Times New Roman" w:cs="Times New Roman" w:eastAsia="Times New Roman" w:hAnsi="Times New Roman"/>
          <w:sz w:val="14"/>
          <w:szCs w:val="14"/>
          <w:u w:val="single" w:color="auto"/>
          <w:color w:val="0000EE"/>
        </w:rPr>
      </w:pPr>
    </w:p>
    <w:p>
      <w:pPr>
        <w:ind w:left="1720" w:right="1479" w:hanging="134"/>
        <w:spacing w:after="0" w:line="267" w:lineRule="auto"/>
        <w:tabs>
          <w:tab w:leader="none" w:pos="1720" w:val="left"/>
        </w:tabs>
        <w:numPr>
          <w:ilvl w:val="0"/>
          <w:numId w:val="36"/>
        </w:numPr>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auto"/>
          </w:rPr>
          <w:t xml:space="preserve">the description of our capital stock contained in our registration statement on </w:t>
        </w:r>
        <w:r>
          <w:rPr>
            <w:rFonts w:ascii="Times New Roman" w:cs="Times New Roman" w:eastAsia="Times New Roman" w:hAnsi="Times New Roman"/>
            <w:sz w:val="14"/>
            <w:szCs w:val="14"/>
            <w:u w:val="single" w:color="auto"/>
            <w:color w:val="0000EE"/>
          </w:rPr>
          <w:t>Form 8-A12B filed</w:t>
        </w:r>
      </w:hyperlink>
      <w:r>
        <w:rPr>
          <w:rFonts w:ascii="Times New Roman" w:cs="Times New Roman" w:eastAsia="Times New Roman" w:hAnsi="Times New Roman"/>
          <w:sz w:val="14"/>
          <w:szCs w:val="14"/>
          <w:color w:val="auto"/>
        </w:rPr>
        <w:t xml:space="preserve"> </w:t>
      </w:r>
      <w:hyperlink r:id="rId106">
        <w:r>
          <w:rPr>
            <w:rFonts w:ascii="Times New Roman" w:cs="Times New Roman" w:eastAsia="Times New Roman" w:hAnsi="Times New Roman"/>
            <w:sz w:val="14"/>
            <w:szCs w:val="14"/>
            <w:u w:val="single" w:color="auto"/>
            <w:color w:val="0000EE"/>
          </w:rPr>
          <w:t>with the SEC on July 13, 2018 (File No. 001-38587)</w:t>
        </w:r>
        <w:r>
          <w:rPr>
            <w:rFonts w:ascii="Times New Roman" w:cs="Times New Roman" w:eastAsia="Times New Roman" w:hAnsi="Times New Roman"/>
            <w:sz w:val="14"/>
            <w:szCs w:val="14"/>
            <w:color w:val="000000"/>
          </w:rPr>
          <w:t xml:space="preserve">, including any amendment or reports filed </w:t>
        </w:r>
      </w:hyperlink>
      <w:r>
        <w:rPr>
          <w:rFonts w:ascii="Times New Roman" w:cs="Times New Roman" w:eastAsia="Times New Roman" w:hAnsi="Times New Roman"/>
          <w:sz w:val="14"/>
          <w:szCs w:val="14"/>
          <w:color w:val="0000EE"/>
        </w:rPr>
        <w:t xml:space="preserve">for </w:t>
      </w:r>
      <w:r>
        <w:rPr>
          <w:rFonts w:ascii="Times New Roman" w:cs="Times New Roman" w:eastAsia="Times New Roman" w:hAnsi="Times New Roman"/>
          <w:sz w:val="14"/>
          <w:szCs w:val="14"/>
          <w:color w:val="000000"/>
        </w:rPr>
        <w:t>the purpose of updating such description;</w:t>
      </w:r>
    </w:p>
    <w:p>
      <w:pPr>
        <w:spacing w:after="0" w:line="51" w:lineRule="exact"/>
        <w:rPr>
          <w:rFonts w:ascii="Times New Roman" w:cs="Times New Roman" w:eastAsia="Times New Roman" w:hAnsi="Times New Roman"/>
          <w:sz w:val="14"/>
          <w:szCs w:val="14"/>
          <w:color w:val="0000EE"/>
        </w:rPr>
      </w:pPr>
    </w:p>
    <w:p>
      <w:pPr>
        <w:ind w:left="1720" w:right="1379" w:hanging="134"/>
        <w:spacing w:after="0" w:line="276"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annual reports on Form 20-F filed with the SEC after the date of this prospectus and prior to the termination of the offering of our Class A common shares and ADSs offered by this prospectus;</w:t>
      </w:r>
    </w:p>
    <w:p>
      <w:pPr>
        <w:spacing w:after="0" w:line="218"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reports on Form 6-K that we furnish to the SEC after the date of this prospectus that are identified in such reports as being incorporated by reference in this prospectus.</w:t>
      </w:r>
    </w:p>
    <w:p>
      <w:pPr>
        <w:spacing w:after="0" w:line="62" w:lineRule="exact"/>
        <w:rPr>
          <w:rFonts w:ascii="Times New Roman" w:cs="Times New Roman" w:eastAsia="Times New Roman" w:hAnsi="Times New Roman"/>
          <w:sz w:val="14"/>
          <w:szCs w:val="14"/>
          <w:color w:val="auto"/>
        </w:rPr>
      </w:pPr>
    </w:p>
    <w:p>
      <w:pPr>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Copies of all documents incorporated by reference in this prospectus, other than exhibits to those documents unless such exhibits are specially incorporated by reference in the prospectus, will be provided at no cost to each person, including any beneficial owner, who receives a copy of this prospectus on the written or oral request of that person made to:</w:t>
      </w:r>
    </w:p>
    <w:p>
      <w:pPr>
        <w:spacing w:after="0" w:line="89" w:lineRule="exact"/>
        <w:rPr>
          <w:rFonts w:ascii="Times New Roman" w:cs="Times New Roman" w:eastAsia="Times New Roman" w:hAnsi="Times New Roman"/>
          <w:sz w:val="14"/>
          <w:szCs w:val="14"/>
          <w:color w:val="auto"/>
        </w:rPr>
      </w:pPr>
    </w:p>
    <w:p>
      <w:pPr>
        <w:ind w:left="3800"/>
        <w:spacing w:after="0"/>
        <w:rPr>
          <w:sz w:val="20"/>
          <w:szCs w:val="20"/>
          <w:color w:val="auto"/>
        </w:rPr>
      </w:pPr>
      <w:r>
        <w:rPr>
          <w:rFonts w:ascii="Times New Roman" w:cs="Times New Roman" w:eastAsia="Times New Roman" w:hAnsi="Times New Roman"/>
          <w:sz w:val="14"/>
          <w:szCs w:val="14"/>
          <w:color w:val="auto"/>
        </w:rPr>
        <w:t>Aurora Mobile Limited</w:t>
      </w:r>
    </w:p>
    <w:p>
      <w:pPr>
        <w:spacing w:after="0" w:line="22" w:lineRule="exact"/>
        <w:rPr>
          <w:rFonts w:ascii="Times New Roman" w:cs="Times New Roman" w:eastAsia="Times New Roman" w:hAnsi="Times New Roman"/>
          <w:sz w:val="14"/>
          <w:szCs w:val="14"/>
          <w:color w:val="auto"/>
        </w:rPr>
      </w:pPr>
    </w:p>
    <w:p>
      <w:pPr>
        <w:ind w:left="1760"/>
        <w:spacing w:after="0"/>
        <w:rPr>
          <w:sz w:val="20"/>
          <w:szCs w:val="20"/>
          <w:color w:val="auto"/>
        </w:rPr>
      </w:pPr>
      <w:r>
        <w:rPr>
          <w:rFonts w:ascii="Times New Roman" w:cs="Times New Roman" w:eastAsia="Times New Roman" w:hAnsi="Times New Roman"/>
          <w:sz w:val="14"/>
          <w:szCs w:val="14"/>
          <w:color w:val="auto"/>
        </w:rPr>
        <w:t>31/F, Block 12-A, Shenzhen Bay Science and Technology Ecological Park, Nanshan District</w:t>
      </w:r>
    </w:p>
    <w:p>
      <w:pPr>
        <w:spacing w:after="0" w:line="7" w:lineRule="exact"/>
        <w:rPr>
          <w:rFonts w:ascii="Times New Roman" w:cs="Times New Roman" w:eastAsia="Times New Roman" w:hAnsi="Times New Roman"/>
          <w:sz w:val="14"/>
          <w:szCs w:val="14"/>
          <w:color w:val="auto"/>
        </w:rPr>
      </w:pPr>
    </w:p>
    <w:p>
      <w:pPr>
        <w:ind w:left="3580"/>
        <w:spacing w:after="0"/>
        <w:rPr>
          <w:sz w:val="20"/>
          <w:szCs w:val="20"/>
          <w:color w:val="auto"/>
        </w:rPr>
      </w:pPr>
      <w:r>
        <w:rPr>
          <w:rFonts w:ascii="Times New Roman" w:cs="Times New Roman" w:eastAsia="Times New Roman" w:hAnsi="Times New Roman"/>
          <w:sz w:val="14"/>
          <w:szCs w:val="14"/>
          <w:color w:val="auto"/>
        </w:rPr>
        <w:t>Shenzhen, Guangdong 518057</w:t>
      </w:r>
    </w:p>
    <w:p>
      <w:pPr>
        <w:spacing w:after="0" w:line="7" w:lineRule="exact"/>
        <w:rPr>
          <w:rFonts w:ascii="Times New Roman" w:cs="Times New Roman" w:eastAsia="Times New Roman" w:hAnsi="Times New Roman"/>
          <w:sz w:val="14"/>
          <w:szCs w:val="14"/>
          <w:color w:val="auto"/>
        </w:rPr>
      </w:pPr>
    </w:p>
    <w:p>
      <w:pPr>
        <w:ind w:left="3700"/>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2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-3810</wp:posOffset>
            </wp:positionV>
            <wp:extent cx="4062095"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4062095" cy="1333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35560</wp:posOffset>
            </wp:positionV>
            <wp:extent cx="40620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4062095" cy="698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897255</wp:posOffset>
            </wp:positionV>
            <wp:extent cx="1570355" cy="267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57035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Aurora Mobile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9,666,666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Represented by 725,000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897255</wp:posOffset>
            </wp:positionV>
            <wp:extent cx="40620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-3810</wp:posOffset>
            </wp:positionV>
            <wp:extent cx="4062095"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4062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189865</wp:posOffset>
            </wp:positionV>
            <wp:extent cx="533082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INDEMNIFICATION OF DIRECTORS AND OFFICERS</w:t>
      </w:r>
    </w:p>
    <w:p>
      <w:pPr>
        <w:spacing w:after="0" w:line="12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for indemnification of officers and directors from and against all actions, proceedings, costs, charges, losses, damages and liabilities which they may incur or sustain in or by reason of the conduct of our business or affairs (including as a result of any mistake of judgment) or in the execution or discharge of their duties, powers, authorities or discretions, including without prejudice to the generality of the foregoing, any costs, expenses, losses or liabilities incurred by such person in defending (whether successfully or otherwise) any civil proceedings concerning the company or its affairs in any court whether in the Cayman Islands or elsewhere other than by reason of such person’s own dishonesty, willful default or fraud.</w:t>
      </w:r>
    </w:p>
    <w:p>
      <w:pPr>
        <w:spacing w:after="0" w:line="93" w:lineRule="exact"/>
        <w:rPr>
          <w:sz w:val="20"/>
          <w:szCs w:val="20"/>
          <w:color w:val="auto"/>
        </w:rPr>
      </w:pPr>
    </w:p>
    <w:p>
      <w:pPr>
        <w:ind w:left="1300" w:right="1859" w:firstLine="281"/>
        <w:spacing w:after="0" w:line="283" w:lineRule="auto"/>
        <w:rPr>
          <w:sz w:val="20"/>
          <w:szCs w:val="20"/>
          <w:color w:val="auto"/>
        </w:rPr>
      </w:pPr>
      <w:r>
        <w:rPr>
          <w:rFonts w:ascii="Times New Roman" w:cs="Times New Roman" w:eastAsia="Times New Roman" w:hAnsi="Times New Roman"/>
          <w:sz w:val="14"/>
          <w:szCs w:val="14"/>
          <w:color w:val="auto"/>
        </w:rPr>
        <w:t>The underwriting agreement, the form of which will be filed as Exhibit 1.1 to this Registration Statement, will also provide for indemnification of us and our officers and directors.</w:t>
      </w:r>
    </w:p>
    <w:p>
      <w:pPr>
        <w:spacing w:after="0" w:line="62" w:lineRule="exact"/>
        <w:rPr>
          <w:sz w:val="20"/>
          <w:szCs w:val="20"/>
          <w:color w:val="auto"/>
        </w:rPr>
      </w:pPr>
    </w:p>
    <w:p>
      <w:pPr>
        <w:ind w:left="1300" w:right="1399" w:firstLine="281"/>
        <w:spacing w:after="0" w:line="260" w:lineRule="auto"/>
        <w:rPr>
          <w:sz w:val="20"/>
          <w:szCs w:val="20"/>
          <w:color w:val="auto"/>
        </w:rPr>
      </w:pPr>
      <w:r>
        <w:rPr>
          <w:rFonts w:ascii="Times New Roman" w:cs="Times New Roman" w:eastAsia="Times New Roman" w:hAnsi="Times New Roman"/>
          <w:sz w:val="14"/>
          <w:szCs w:val="14"/>
          <w:color w:val="auto"/>
        </w:rPr>
        <w:t>Pursuant to the indemnification agreements between us and our directors and officers, the form of which was filed as Exhibit 10.3 to our registration statement on Form F-1 (File No. 333-225993) that was filed with the SEC on July 13, 2018, we agreed to indemnify our directors and officers against certain liabilities and expenses incurred by such persons in connection with claims made by reason of their being a director or officer.</w:t>
      </w:r>
    </w:p>
    <w:p>
      <w:pPr>
        <w:spacing w:after="0" w:line="321"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3"/>
          <w:szCs w:val="13"/>
          <w:b w:val="1"/>
          <w:bCs w:val="1"/>
          <w:color w:val="auto"/>
        </w:rPr>
        <w:t>EXHIBITS</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exhibits to this registration statement are listed in the Index to Exhibits below.</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25" w:lineRule="exact"/>
        <w:rPr>
          <w:sz w:val="20"/>
          <w:szCs w:val="20"/>
          <w:color w:val="auto"/>
        </w:rPr>
      </w:pPr>
    </w:p>
    <w:p>
      <w:pPr>
        <w:ind w:left="1580" w:hanging="275"/>
        <w:spacing w:after="0"/>
        <w:tabs>
          <w:tab w:leader="none" w:pos="1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23" w:lineRule="exact"/>
        <w:rPr>
          <w:rFonts w:ascii="Times New Roman" w:cs="Times New Roman" w:eastAsia="Times New Roman" w:hAnsi="Times New Roman"/>
          <w:sz w:val="14"/>
          <w:szCs w:val="14"/>
          <w:color w:val="auto"/>
        </w:rPr>
      </w:pPr>
    </w:p>
    <w:p>
      <w:pPr>
        <w:ind w:left="1860" w:right="1439" w:hanging="274"/>
        <w:spacing w:after="0" w:line="283" w:lineRule="auto"/>
        <w:tabs>
          <w:tab w:leader="none" w:pos="18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2"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23" w:lineRule="exact"/>
        <w:rPr>
          <w:rFonts w:ascii="Times New Roman" w:cs="Times New Roman" w:eastAsia="Times New Roman" w:hAnsi="Times New Roman"/>
          <w:sz w:val="14"/>
          <w:szCs w:val="14"/>
          <w:color w:val="auto"/>
        </w:rPr>
      </w:pPr>
    </w:p>
    <w:p>
      <w:pPr>
        <w:ind w:left="2140" w:right="1459" w:hanging="273"/>
        <w:spacing w:after="0" w:line="254" w:lineRule="auto"/>
        <w:tabs>
          <w:tab w:leader="none" w:pos="2140"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4"/>
          <w:szCs w:val="14"/>
          <w:color w:val="auto"/>
        </w:rPr>
      </w:pPr>
    </w:p>
    <w:p>
      <w:pPr>
        <w:ind w:left="2140" w:right="1579" w:hanging="273"/>
        <w:spacing w:after="0" w:line="267" w:lineRule="auto"/>
        <w:tabs>
          <w:tab w:leader="none" w:pos="2140"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4" w:lineRule="exact"/>
        <w:rPr>
          <w:sz w:val="20"/>
          <w:szCs w:val="20"/>
          <w:color w:val="auto"/>
        </w:rPr>
      </w:pPr>
    </w:p>
    <w:p>
      <w:pPr>
        <w:ind w:left="1860" w:right="1739"/>
        <w:spacing w:after="0" w:line="261" w:lineRule="auto"/>
        <w:rPr>
          <w:sz w:val="20"/>
          <w:szCs w:val="20"/>
          <w:color w:val="auto"/>
        </w:rPr>
      </w:pPr>
      <w:r>
        <w:rPr>
          <w:rFonts w:ascii="Times New Roman" w:cs="Times New Roman" w:eastAsia="Times New Roman" w:hAnsi="Times New Roman"/>
          <w:sz w:val="14"/>
          <w:szCs w:val="14"/>
          <w:color w:val="auto"/>
        </w:rPr>
        <w:t>provided, however, that paragraphs (a)(1)(i), (a)(1)(ii) and (a)(1)(iii) do not apply if the information required to be included in a post-effective amendment by those paragraphs is contained in periodic reports filed with or furnished to the SEC by the registrant pursuant to section 13 or</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860" w:right="1379"/>
        <w:spacing w:after="0" w:line="267" w:lineRule="auto"/>
        <w:rPr>
          <w:sz w:val="20"/>
          <w:szCs w:val="20"/>
          <w:color w:val="auto"/>
        </w:rPr>
      </w:pPr>
      <w:r>
        <w:rPr>
          <w:rFonts w:ascii="Times New Roman" w:cs="Times New Roman" w:eastAsia="Times New Roman" w:hAnsi="Times New Roman"/>
          <w:sz w:val="14"/>
          <w:szCs w:val="14"/>
          <w:color w:val="auto"/>
        </w:rPr>
        <w:t>section 15(d) of the Exchange Act that are incorporated by reference in the registration statement or is contained in a form of prospectus filed pursuant to Rule 424(b) that is part of the registration statement.</w:t>
      </w:r>
    </w:p>
    <w:p>
      <w:pPr>
        <w:spacing w:after="0" w:line="84" w:lineRule="exact"/>
        <w:rPr>
          <w:sz w:val="20"/>
          <w:szCs w:val="20"/>
          <w:color w:val="auto"/>
        </w:rPr>
      </w:pPr>
    </w:p>
    <w:p>
      <w:pPr>
        <w:ind w:left="1860" w:right="1459" w:hanging="274"/>
        <w:spacing w:after="0" w:line="261" w:lineRule="auto"/>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1860" w:right="1499" w:hanging="274"/>
        <w:spacing w:after="0" w:line="283" w:lineRule="auto"/>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1860" w:right="1339" w:hanging="274"/>
        <w:spacing w:after="0" w:line="255" w:lineRule="auto"/>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registrant includes in the prospectus, by means of a post-effective amendment, financial statements required pursuant to this paragraph (a)</w:t>
      </w:r>
    </w:p>
    <w:p>
      <w:pPr>
        <w:spacing w:after="0" w:line="1" w:lineRule="exact"/>
        <w:rPr>
          <w:rFonts w:ascii="Times New Roman" w:cs="Times New Roman" w:eastAsia="Times New Roman" w:hAnsi="Times New Roman"/>
          <w:sz w:val="14"/>
          <w:szCs w:val="14"/>
          <w:color w:val="auto"/>
        </w:rPr>
      </w:pPr>
    </w:p>
    <w:p>
      <w:pPr>
        <w:ind w:left="1860" w:right="13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250" w:lineRule="exact"/>
        <w:rPr>
          <w:rFonts w:ascii="Times New Roman" w:cs="Times New Roman" w:eastAsia="Times New Roman" w:hAnsi="Times New Roman"/>
          <w:sz w:val="14"/>
          <w:szCs w:val="14"/>
          <w:color w:val="auto"/>
        </w:rPr>
      </w:pPr>
    </w:p>
    <w:p>
      <w:pPr>
        <w:ind w:left="1860" w:hanging="274"/>
        <w:spacing w:after="0"/>
        <w:tabs>
          <w:tab w:leader="none" w:pos="1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23" w:lineRule="exact"/>
        <w:rPr>
          <w:sz w:val="20"/>
          <w:szCs w:val="20"/>
          <w:color w:val="auto"/>
        </w:rPr>
      </w:pPr>
    </w:p>
    <w:p>
      <w:pPr>
        <w:ind w:left="2140" w:right="1419" w:hanging="273"/>
        <w:spacing w:after="0" w:line="267" w:lineRule="auto"/>
        <w:tabs>
          <w:tab w:leader="none" w:pos="21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4"/>
          <w:szCs w:val="14"/>
          <w:color w:val="auto"/>
        </w:rPr>
      </w:pPr>
    </w:p>
    <w:p>
      <w:pPr>
        <w:ind w:left="2140" w:right="1359" w:hanging="273"/>
        <w:spacing w:after="0" w:line="253" w:lineRule="auto"/>
        <w:tabs>
          <w:tab w:leader="none" w:pos="21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51" w:lineRule="exact"/>
        <w:rPr>
          <w:rFonts w:ascii="Times New Roman" w:cs="Times New Roman" w:eastAsia="Times New Roman" w:hAnsi="Times New Roman"/>
          <w:sz w:val="14"/>
          <w:szCs w:val="14"/>
          <w:color w:val="auto"/>
        </w:rPr>
      </w:pPr>
    </w:p>
    <w:p>
      <w:pPr>
        <w:ind w:left="1860" w:right="1439" w:hanging="274"/>
        <w:spacing w:after="0" w:line="257" w:lineRule="auto"/>
        <w:tabs>
          <w:tab w:leader="none" w:pos="1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rFonts w:ascii="Times New Roman" w:cs="Times New Roman" w:eastAsia="Times New Roman" w:hAnsi="Times New Roman"/>
          <w:sz w:val="14"/>
          <w:szCs w:val="14"/>
          <w:color w:val="auto"/>
        </w:rPr>
      </w:pPr>
    </w:p>
    <w:p>
      <w:pPr>
        <w:ind w:left="2140" w:right="1779" w:hanging="273"/>
        <w:spacing w:after="0" w:line="283" w:lineRule="auto"/>
        <w:tabs>
          <w:tab w:leader="none" w:pos="21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6" w:name="page57"/>
    <w:bookmarkEnd w:id="5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40" w:right="1999" w:hanging="273"/>
        <w:spacing w:after="0" w:line="283" w:lineRule="auto"/>
        <w:tabs>
          <w:tab w:leader="none" w:pos="21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2" w:lineRule="exact"/>
        <w:rPr>
          <w:rFonts w:ascii="Times New Roman" w:cs="Times New Roman" w:eastAsia="Times New Roman" w:hAnsi="Times New Roman"/>
          <w:sz w:val="14"/>
          <w:szCs w:val="14"/>
          <w:color w:val="auto"/>
        </w:rPr>
      </w:pPr>
    </w:p>
    <w:p>
      <w:pPr>
        <w:ind w:left="2140" w:right="1439" w:hanging="273"/>
        <w:spacing w:after="0" w:line="267" w:lineRule="auto"/>
        <w:tabs>
          <w:tab w:leader="none" w:pos="21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auto"/>
        </w:rPr>
      </w:pPr>
    </w:p>
    <w:p>
      <w:pPr>
        <w:ind w:left="2140" w:right="1459" w:hanging="273"/>
        <w:spacing w:after="0" w:line="283" w:lineRule="auto"/>
        <w:tabs>
          <w:tab w:leader="none" w:pos="214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2" w:lineRule="exact"/>
        <w:rPr>
          <w:rFonts w:ascii="Times New Roman" w:cs="Times New Roman" w:eastAsia="Times New Roman" w:hAnsi="Times New Roman"/>
          <w:sz w:val="14"/>
          <w:szCs w:val="14"/>
          <w:color w:val="auto"/>
        </w:rPr>
      </w:pPr>
    </w:p>
    <w:p>
      <w:pPr>
        <w:ind w:left="1580" w:right="1339" w:hanging="275"/>
        <w:spacing w:after="0" w:line="259" w:lineRule="auto"/>
        <w:tabs>
          <w:tab w:leader="none" w:pos="15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1580" w:right="1339" w:hanging="275"/>
        <w:spacing w:after="0" w:line="254" w:lineRule="auto"/>
        <w:tabs>
          <w:tab w:leader="none" w:pos="15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279"/>
        <w:spacing w:after="0" w:line="182" w:lineRule="auto"/>
        <w:tabs>
          <w:tab w:leader="none" w:pos="3520" w:val="left"/>
          <w:tab w:leader="none" w:pos="20" w:val="left"/>
        </w:tabs>
        <w:rPr>
          <w:sz w:val="20"/>
          <w:szCs w:val="20"/>
          <w:color w:val="auto"/>
        </w:rPr>
      </w:pPr>
      <w:r>
        <w:rPr>
          <w:rFonts w:ascii="Times New Roman" w:cs="Times New Roman" w:eastAsia="Times New Roman" w:hAnsi="Times New Roman"/>
          <w:sz w:val="19"/>
          <w:szCs w:val="19"/>
          <w:b w:val="1"/>
          <w:bCs w:val="1"/>
          <w:u w:val="single" w:color="auto"/>
          <w:color w:val="auto"/>
          <w:vertAlign w:val="subscript"/>
        </w:rPr>
        <w:t>​</w:t>
      </w:r>
      <w:r>
        <w:rPr>
          <w:rFonts w:ascii="Times New Roman" w:cs="Times New Roman" w:eastAsia="Times New Roman" w:hAnsi="Times New Roman"/>
          <w:sz w:val="10"/>
          <w:szCs w:val="10"/>
          <w:b w:val="1"/>
          <w:bCs w:val="1"/>
          <w:u w:val="single" w:color="auto"/>
          <w:color w:val="auto"/>
        </w:rPr>
        <w:t>Number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 of Document</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ectPr>
          <w:pgSz w:w="11900" w:h="16838" w:orient="portrait"/>
          <w:cols w:equalWidth="0" w:num="1">
            <w:col w:w="9019"/>
          </w:cols>
          <w:pgMar w:left="1440" w:top="107" w:right="1440" w:bottom="1440" w:gutter="0" w:footer="0" w:header="0"/>
        </w:sectPr>
      </w:pPr>
    </w:p>
    <w:p>
      <w:pPr>
        <w:spacing w:after="0" w:line="18" w:lineRule="exact"/>
        <w:rPr>
          <w:sz w:val="20"/>
          <w:szCs w:val="20"/>
          <w:color w:val="auto"/>
        </w:rPr>
      </w:pPr>
    </w:p>
    <w:p>
      <w:pPr>
        <w:ind w:left="1400" w:hanging="95"/>
        <w:spacing w:after="0"/>
        <w:tabs>
          <w:tab w:leader="none" w:pos="1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375" w:lineRule="exact"/>
        <w:rPr>
          <w:rFonts w:ascii="Times New Roman" w:cs="Times New Roman" w:eastAsia="Times New Roman" w:hAnsi="Times New Roman"/>
          <w:sz w:val="14"/>
          <w:szCs w:val="14"/>
          <w:color w:val="auto"/>
        </w:rPr>
      </w:pPr>
    </w:p>
    <w:p>
      <w:pPr>
        <w:ind w:left="1400" w:hanging="95"/>
        <w:spacing w:after="0"/>
        <w:tabs>
          <w:tab w:leader="none" w:pos="1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375" w:lineRule="exact"/>
        <w:rPr>
          <w:rFonts w:ascii="Times New Roman" w:cs="Times New Roman" w:eastAsia="Times New Roman" w:hAnsi="Times New Roman"/>
          <w:sz w:val="14"/>
          <w:szCs w:val="14"/>
          <w:color w:val="auto"/>
        </w:rPr>
      </w:pPr>
    </w:p>
    <w:p>
      <w:pPr>
        <w:ind w:left="1400" w:hanging="95"/>
        <w:spacing w:after="0"/>
        <w:tabs>
          <w:tab w:leader="none" w:pos="1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47" w:lineRule="exact"/>
        <w:rPr>
          <w:rFonts w:ascii="Times New Roman" w:cs="Times New Roman" w:eastAsia="Times New Roman" w:hAnsi="Times New Roman"/>
          <w:sz w:val="14"/>
          <w:szCs w:val="14"/>
          <w:color w:val="auto"/>
        </w:rPr>
      </w:pPr>
    </w:p>
    <w:p>
      <w:pPr>
        <w:ind w:left="1400" w:hanging="95"/>
        <w:spacing w:after="0"/>
        <w:tabs>
          <w:tab w:leader="none" w:pos="1400"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4.3</w:t>
      </w:r>
    </w:p>
    <w:p>
      <w:pPr>
        <w:spacing w:after="0" w:line="22" w:lineRule="exact"/>
        <w:rPr>
          <w:rFonts w:ascii="Times New Roman" w:cs="Times New Roman" w:eastAsia="Times New Roman" w:hAnsi="Times New Roman"/>
          <w:sz w:val="28"/>
          <w:szCs w:val="28"/>
          <w:color w:val="auto"/>
          <w:vertAlign w:val="superscript"/>
        </w:rPr>
      </w:pPr>
    </w:p>
    <w:p>
      <w:pPr>
        <w:ind w:left="1400" w:hanging="95"/>
        <w:spacing w:after="0"/>
        <w:tabs>
          <w:tab w:leader="none" w:pos="1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370"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w:t>
      </w:r>
    </w:p>
    <w:p>
      <w:pPr>
        <w:spacing w:after="0" w:line="217"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w:t>
      </w:r>
    </w:p>
    <w:p>
      <w:pPr>
        <w:spacing w:after="0" w:line="228" w:lineRule="exact"/>
        <w:rPr>
          <w:rFonts w:ascii="Times New Roman" w:cs="Times New Roman" w:eastAsia="Times New Roman" w:hAnsi="Times New Roman"/>
          <w:sz w:val="14"/>
          <w:szCs w:val="14"/>
          <w:color w:val="auto"/>
        </w:rPr>
      </w:pPr>
    </w:p>
    <w:p>
      <w:pPr>
        <w:jc w:val="both"/>
        <w:ind w:left="1300" w:firstLine="5"/>
        <w:spacing w:after="0" w:line="185" w:lineRule="auto"/>
        <w:tabs>
          <w:tab w:leader="none" w:pos="1366"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23.1*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23.2*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23.3*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24.1*</w:t>
      </w:r>
    </w:p>
    <w:p>
      <w:pPr>
        <w:spacing w:after="0" w:line="4" w:lineRule="exact"/>
        <w:rPr>
          <w:rFonts w:ascii="Times New Roman" w:cs="Times New Roman" w:eastAsia="Times New Roman" w:hAnsi="Times New Roman"/>
          <w:sz w:val="24"/>
          <w:szCs w:val="24"/>
          <w:color w:val="auto"/>
          <w:vertAlign w:val="superscript"/>
        </w:rPr>
      </w:pPr>
    </w:p>
    <w:p>
      <w:pPr>
        <w:ind w:left="1360" w:hanging="55"/>
        <w:spacing w:after="0" w:line="183" w:lineRule="auto"/>
        <w:tabs>
          <w:tab w:leader="none" w:pos="13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107*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0" w:type="dxa"/>
            <w:vAlign w:val="bottom"/>
            <w:tcBorders>
              <w:right w:val="single" w:sz="8" w:color="auto"/>
            </w:tcBorders>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8"/>
        </w:trPr>
        <w:tc>
          <w:tcPr>
            <w:tcW w:w="5960" w:type="dxa"/>
            <w:vAlign w:val="bottom"/>
            <w:gridSpan w:val="12"/>
          </w:tcPr>
          <w:p>
            <w:pPr>
              <w:spacing w:after="0" w:line="12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117">
              <w:r>
                <w:rPr>
                  <w:rFonts w:ascii="Times New Roman" w:cs="Times New Roman" w:eastAsia="Times New Roman" w:hAnsi="Times New Roman"/>
                  <w:sz w:val="14"/>
                  <w:szCs w:val="14"/>
                  <w:color w:val="0000EE"/>
                </w:rPr>
                <w:t>Seventh Amended and Restated Memorandum and Articles of Association of the Registrant</w:t>
              </w:r>
            </w:hyperlink>
          </w:p>
        </w:tc>
        <w:tc>
          <w:tcPr>
            <w:tcW w:w="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40" w:type="dxa"/>
            <w:vAlign w:val="bottom"/>
          </w:tcPr>
          <w:p>
            <w:pPr>
              <w:spacing w:after="0"/>
              <w:rPr>
                <w:sz w:val="12"/>
                <w:szCs w:val="12"/>
                <w:color w:val="auto"/>
              </w:rPr>
            </w:pPr>
          </w:p>
        </w:tc>
        <w:tc>
          <w:tcPr>
            <w:tcW w:w="5820" w:type="dxa"/>
            <w:vAlign w:val="bottom"/>
            <w:gridSpan w:val="11"/>
          </w:tcPr>
          <w:p>
            <w:pPr>
              <w:spacing w:after="0" w:line="149"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effective July 30 2018 (incorporated herein by reference to Exhibit 3.2 to the Form F-1 filed on</w:t>
              </w:r>
            </w:hyperlink>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5580" w:type="dxa"/>
            <w:vAlign w:val="bottom"/>
            <w:tcBorders>
              <w:top w:val="single" w:sz="8" w:color="0000EE"/>
            </w:tcBorders>
            <w:gridSpan w:val="9"/>
          </w:tcPr>
          <w:p>
            <w:pPr>
              <w:spacing w:after="0" w:line="149"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June 29, 2018 (File No. 333-225993))</w:t>
              </w:r>
            </w:hyperlink>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5960" w:type="dxa"/>
            <w:vAlign w:val="bottom"/>
            <w:gridSpan w:val="1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118">
              <w:r>
                <w:rPr>
                  <w:rFonts w:ascii="Times New Roman" w:cs="Times New Roman" w:eastAsia="Times New Roman" w:hAnsi="Times New Roman"/>
                  <w:sz w:val="14"/>
                  <w:szCs w:val="14"/>
                  <w:color w:val="0000EE"/>
                </w:rPr>
                <w:t>Registrant’s Specimen Certificate for Class A common Shares (incorporated by reference to</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40" w:type="dxa"/>
            <w:vAlign w:val="bottom"/>
          </w:tcPr>
          <w:p>
            <w:pPr>
              <w:spacing w:after="0"/>
              <w:rPr>
                <w:sz w:val="12"/>
                <w:szCs w:val="12"/>
                <w:color w:val="auto"/>
              </w:rPr>
            </w:pPr>
          </w:p>
        </w:tc>
        <w:tc>
          <w:tcPr>
            <w:tcW w:w="546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Exhibit 4.2 to the registration statement on Form F-1/A (File No. 333-225993), filed with the</w:t>
              </w:r>
            </w:hyperlink>
          </w:p>
        </w:tc>
        <w:tc>
          <w:tcPr>
            <w:tcW w:w="3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326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Securities and Exchange Commission on July 13, 2018)</w:t>
              </w:r>
            </w:hyperlink>
          </w:p>
        </w:tc>
        <w:tc>
          <w:tcPr>
            <w:tcW w:w="256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5960" w:type="dxa"/>
            <w:vAlign w:val="bottom"/>
            <w:gridSpan w:val="1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hyperlink r:id="rId119">
              <w:r>
                <w:rPr>
                  <w:rFonts w:ascii="Times New Roman" w:cs="Times New Roman" w:eastAsia="Times New Roman" w:hAnsi="Times New Roman"/>
                  <w:sz w:val="14"/>
                  <w:szCs w:val="14"/>
                  <w:color w:val="0000EE"/>
                </w:rPr>
                <w:t>Deposit Agreement among the Registrant, the depositary and holder of the American Depositary</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140" w:type="dxa"/>
            <w:vAlign w:val="bottom"/>
          </w:tcPr>
          <w:p>
            <w:pPr>
              <w:spacing w:after="0"/>
              <w:rPr>
                <w:sz w:val="12"/>
                <w:szCs w:val="12"/>
                <w:color w:val="auto"/>
              </w:rPr>
            </w:pPr>
          </w:p>
        </w:tc>
        <w:tc>
          <w:tcPr>
            <w:tcW w:w="5520" w:type="dxa"/>
            <w:vAlign w:val="bottom"/>
            <w:tcBorders>
              <w:top w:val="single" w:sz="8" w:color="0000EE"/>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Receipts, dated July 25, 2018 (incorporated herein by reference to Exhibit 4.3 to the Form S-8</w:t>
              </w:r>
            </w:hyperlink>
          </w:p>
        </w:tc>
        <w:tc>
          <w:tcPr>
            <w:tcW w:w="120" w:type="dxa"/>
            <w:vAlign w:val="bottom"/>
            <w:tcBorders>
              <w:top w:val="single" w:sz="8" w:color="0000EE"/>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5820" w:type="dxa"/>
            <w:vAlign w:val="bottom"/>
            <w:gridSpan w:val="11"/>
          </w:tcPr>
          <w:p>
            <w:pPr>
              <w:spacing w:after="0" w:line="149"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filed on December 17, 2018 (File No. 333-228839))</w:t>
              </w:r>
            </w:hyperlink>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5960" w:type="dxa"/>
            <w:vAlign w:val="bottom"/>
            <w:gridSpan w:val="12"/>
          </w:tcPr>
          <w:p>
            <w:pPr>
              <w:spacing w:after="0" w:line="190" w:lineRule="exact"/>
              <w:rPr>
                <w:rFonts w:ascii="Times New Roman" w:cs="Times New Roman" w:eastAsia="Times New Roman" w:hAnsi="Times New Roman"/>
                <w:sz w:val="12"/>
                <w:szCs w:val="12"/>
                <w:color w:val="0000EE"/>
              </w:rPr>
            </w:pPr>
            <w:hyperlink r:id="rId119"/>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hyperlink r:id="rId119">
              <w:r>
                <w:rPr>
                  <w:rFonts w:ascii="Times New Roman" w:cs="Times New Roman" w:eastAsia="Times New Roman" w:hAnsi="Times New Roman"/>
                  <w:sz w:val="12"/>
                  <w:szCs w:val="12"/>
                  <w:color w:val="0000EE"/>
                </w:rPr>
                <w:t>Registrant’s Specimen American Depositary Receipt (included in Exhibit 4.2)</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 w:lineRule="exact"/>
        <w:rPr>
          <w:sz w:val="20"/>
          <w:szCs w:val="20"/>
          <w:color w:val="auto"/>
        </w:rPr>
      </w:pPr>
    </w:p>
    <w:p>
      <w:pPr>
        <w:ind w:left="120" w:right="1279" w:hanging="120"/>
        <w:spacing w:after="0" w:line="271"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w:t>
      </w:r>
      <w:hyperlink r:id="rId120">
        <w:r>
          <w:rPr>
            <w:rFonts w:ascii="Times New Roman" w:cs="Times New Roman" w:eastAsia="Times New Roman" w:hAnsi="Times New Roman"/>
            <w:sz w:val="14"/>
            <w:szCs w:val="14"/>
            <w:u w:val="single" w:color="auto"/>
            <w:color w:val="0000EE"/>
          </w:rPr>
          <w:t>Warrant to Purchase Common Shares issued by the Registrant to PM Partners I LP on February 11,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120">
        <w:r>
          <w:rPr>
            <w:rFonts w:ascii="Times New Roman" w:cs="Times New Roman" w:eastAsia="Times New Roman" w:hAnsi="Times New Roman"/>
            <w:sz w:val="14"/>
            <w:szCs w:val="14"/>
            <w:u w:val="single" w:color="auto"/>
            <w:color w:val="0000EE"/>
          </w:rPr>
          <w:t>2026 (incorporated herein by reference to Exhibit 4.1 to the Form 6-K filed on February 11, 2026</w:t>
        </w:r>
      </w:hyperlink>
      <w:r>
        <w:rPr>
          <w:rFonts w:ascii="Times New Roman" w:cs="Times New Roman" w:eastAsia="Times New Roman" w:hAnsi="Times New Roman"/>
          <w:sz w:val="14"/>
          <w:szCs w:val="14"/>
          <w:u w:val="single" w:color="auto"/>
          <w:color w:val="0000EE"/>
        </w:rPr>
        <w:t xml:space="preserve"> </w:t>
      </w:r>
      <w:hyperlink r:id="rId120">
        <w:r>
          <w:rPr>
            <w:rFonts w:ascii="Times New Roman" w:cs="Times New Roman" w:eastAsia="Times New Roman" w:hAnsi="Times New Roman"/>
            <w:sz w:val="14"/>
            <w:szCs w:val="14"/>
            <w:u w:val="single" w:color="auto"/>
            <w:color w:val="0000EE"/>
          </w:rPr>
          <w:t>(File No. 001-38587)</w:t>
        </w:r>
      </w:hyperlink>
    </w:p>
    <w:p>
      <w:pPr>
        <w:spacing w:after="0" w:line="2"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Opinion of Maples and Calder (Hong Kong) LLP regarding the validity of the securities being</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120" w:type="dxa"/>
            <w:vAlign w:val="bottom"/>
          </w:tcPr>
          <w:p>
            <w:pPr>
              <w:spacing w:after="0"/>
              <w:rPr>
                <w:sz w:val="12"/>
                <w:szCs w:val="12"/>
                <w:color w:val="auto"/>
              </w:rPr>
            </w:pPr>
          </w:p>
        </w:tc>
        <w:tc>
          <w:tcPr>
            <w:tcW w:w="304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registered and certain Cayman Islands legal matters</w:t>
            </w:r>
          </w:p>
        </w:tc>
        <w:tc>
          <w:tcPr>
            <w:tcW w:w="2500" w:type="dxa"/>
            <w:vAlign w:val="bottom"/>
            <w:tcBorders>
              <w:top w:val="single" w:sz="8" w:color="0000EE"/>
            </w:tcBorders>
            <w:gridSpan w:val="5"/>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90"/>
        </w:trPr>
        <w:tc>
          <w:tcPr>
            <w:tcW w:w="58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Opinion of Maples and Calder (Hong Kong) LLP regarding certain Cayman Islands legal matters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12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(included in Exhibit 5.1)</w:t>
            </w:r>
          </w:p>
        </w:tc>
        <w:tc>
          <w:tcPr>
            <w:tcW w:w="4260" w:type="dxa"/>
            <w:vAlign w:val="bottom"/>
            <w:tcBorders>
              <w:top w:val="single" w:sz="8" w:color="0000EE"/>
            </w:tcBorders>
            <w:gridSpan w:val="8"/>
          </w:tcPr>
          <w:p>
            <w:pPr>
              <w:spacing w:after="0"/>
              <w:rPr>
                <w:sz w:val="12"/>
                <w:szCs w:val="12"/>
                <w:color w:val="auto"/>
              </w:rPr>
            </w:pPr>
          </w:p>
        </w:tc>
        <w:tc>
          <w:tcPr>
            <w:tcW w:w="180" w:type="dxa"/>
            <w:vAlign w:val="bottom"/>
          </w:tcPr>
          <w:p>
            <w:pPr>
              <w:spacing w:after="0"/>
              <w:rPr>
                <w:sz w:val="12"/>
                <w:szCs w:val="12"/>
                <w:color w:val="auto"/>
              </w:rPr>
            </w:pPr>
          </w:p>
        </w:tc>
      </w:tr>
      <w:tr>
        <w:trPr>
          <w:trHeight w:val="201"/>
        </w:trPr>
        <w:tc>
          <w:tcPr>
            <w:tcW w:w="5820" w:type="dxa"/>
            <w:vAlign w:val="bottom"/>
            <w:gridSpan w:val="11"/>
          </w:tcPr>
          <w:p>
            <w:pPr>
              <w:spacing w:after="0" w:line="201"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Opinion of Han Kun Law Offices regarding certain PRC legal matters</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582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Consent of Ernst &amp; Young Hua Ming LLP, an independent registered public accounting firm</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582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Consent of Maples and Calder (Hong Kong) LLP (included in Exhibit 5.1)</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582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Consent of Han Kun Law Offices (included in Exhibit 8.2)</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582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Powers of Attorney (included on signature page)</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582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Registration Fee Table</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-275590</wp:posOffset>
            </wp:positionH>
            <wp:positionV relativeFrom="paragraph">
              <wp:posOffset>113665</wp:posOffset>
            </wp:positionV>
            <wp:extent cx="9620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20" w:lineRule="exact"/>
        <w:rPr>
          <w:rFonts w:ascii="Times New Roman" w:cs="Times New Roman" w:eastAsia="Times New Roman" w:hAnsi="Times New Roman"/>
          <w:sz w:val="14"/>
          <w:szCs w:val="14"/>
          <w:color w:val="auto"/>
        </w:rPr>
      </w:pPr>
    </w:p>
    <w:p>
      <w:pPr>
        <w:sectPr>
          <w:pgSz w:w="11900" w:h="16838" w:orient="portrait"/>
          <w:cols w:equalWidth="0" w:num="2">
            <w:col w:w="1660" w:space="80"/>
            <w:col w:w="7279"/>
          </w:cols>
          <w:pgMar w:left="1440" w:top="107" w:right="1440" w:bottom="1440" w:gutter="0" w:footer="0" w:header="0"/>
          <w:type w:val="continuous"/>
        </w:sectPr>
      </w:pPr>
    </w:p>
    <w:p>
      <w:pPr>
        <w:spacing w:after="0" w:line="78" w:lineRule="exact"/>
        <w:rPr>
          <w:rFonts w:ascii="Times New Roman" w:cs="Times New Roman" w:eastAsia="Times New Roman" w:hAnsi="Times New Roman"/>
          <w:sz w:val="14"/>
          <w:szCs w:val="14"/>
          <w:color w:val="auto"/>
        </w:rPr>
      </w:pPr>
    </w:p>
    <w:p>
      <w:pPr>
        <w:ind w:left="1580" w:hanging="275"/>
        <w:spacing w:after="0"/>
        <w:tabs>
          <w:tab w:leader="none" w:pos="158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6"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58" w:name="page59"/>
    <w:bookmarkEnd w:id="5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39" w:firstLine="281"/>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Shenzhen, China on March 27, 2026.</w:t>
      </w: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AURORA MOBILE LIMITED</w:t>
      </w:r>
    </w:p>
    <w:p>
      <w:pPr>
        <w:spacing w:after="0" w:line="2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34290</wp:posOffset>
            </wp:positionV>
            <wp:extent cx="19240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61"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Weidong Luo</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Chairman of the Board of Directors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9" w:name="page60"/>
    <w:bookmarkEnd w:id="5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each of Weidong Luo and Shan-Nen Bong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w:t>
      </w:r>
    </w:p>
    <w:p>
      <w:pPr>
        <w:spacing w:after="0" w:line="94" w:lineRule="exact"/>
        <w:rPr>
          <w:sz w:val="20"/>
          <w:szCs w:val="20"/>
          <w:color w:val="auto"/>
        </w:rPr>
      </w:pPr>
    </w:p>
    <w:p>
      <w:pPr>
        <w:ind w:left="1300" w:right="1539" w:firstLine="2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set forth below on March 27, 2026.</w:t>
      </w:r>
    </w:p>
    <w:p>
      <w:pPr>
        <w:sectPr>
          <w:pgSz w:w="11900" w:h="16838" w:orient="portrait"/>
          <w:cols w:equalWidth="0" w:num="1">
            <w:col w:w="9019"/>
          </w:cols>
          <w:pgMar w:left="1440" w:top="107" w:right="1440" w:bottom="1440" w:gutter="0" w:footer="0" w:header="0"/>
        </w:sectPr>
      </w:pPr>
    </w:p>
    <w:p>
      <w:pPr>
        <w:spacing w:after="0" w:line="3" w:lineRule="exact"/>
        <w:rPr>
          <w:sz w:val="20"/>
          <w:szCs w:val="20"/>
          <w:color w:val="auto"/>
        </w:rPr>
      </w:pPr>
    </w:p>
    <w:p>
      <w:pPr>
        <w:ind w:left="2420" w:hanging="1115"/>
        <w:spacing w:after="0"/>
        <w:tabs>
          <w:tab w:leader="none" w:pos="2420" w:val="left"/>
        </w:tabs>
        <w:numPr>
          <w:ilvl w:val="0"/>
          <w:numId w:val="4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18415</wp:posOffset>
            </wp:positionV>
            <wp:extent cx="17106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Weidong Luo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Kwok Hin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Kwok Hin Tang</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30"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John Tiong Lu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John Tiong Lu Koh</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30"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Peter Si Ngai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Peter Si Ngai Yeung</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30"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Hon Sang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Hon Sang Lee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p>
    <w:p>
      <w:pPr>
        <w:spacing w:after="0" w:line="130"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 Shan-Nen 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71069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1710690" cy="6985"/>
                    </a:xfrm>
                    <a:prstGeom prst="rect">
                      <a:avLst/>
                    </a:prstGeom>
                    <a:noFill/>
                  </pic:spPr>
                </pic:pic>
              </a:graphicData>
            </a:graphic>
          </wp:anchor>
        </w:drawing>
      </w:r>
    </w:p>
    <w:p>
      <w:pPr>
        <w:spacing w:after="0" w:line="6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4"/>
          <w:szCs w:val="14"/>
          <w:color w:val="auto"/>
        </w:rPr>
        <w:t>Shan-Nen Bong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5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 w:lineRule="exact"/>
        <w:rPr>
          <w:sz w:val="20"/>
          <w:szCs w:val="20"/>
          <w:color w:val="auto"/>
        </w:rPr>
      </w:pPr>
    </w:p>
    <w:p>
      <w:pPr>
        <w:ind w:left="120" w:right="1519"/>
        <w:spacing w:after="0" w:line="283" w:lineRule="auto"/>
        <w:rPr>
          <w:sz w:val="20"/>
          <w:szCs w:val="20"/>
          <w:color w:val="auto"/>
        </w:rPr>
      </w:pPr>
      <w:r>
        <w:rPr>
          <w:rFonts w:ascii="Times New Roman" w:cs="Times New Roman" w:eastAsia="Times New Roman" w:hAnsi="Times New Roman"/>
          <w:sz w:val="14"/>
          <w:szCs w:val="14"/>
          <w:color w:val="auto"/>
        </w:rPr>
        <w:t>Chairman of the Board of Directors and Chief Executive Officer (principal executive officer)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w:t>
            </w:r>
          </w:p>
        </w:tc>
      </w:tr>
      <w:tr>
        <w:trPr>
          <w:trHeight w:val="41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w:t>
            </w:r>
          </w:p>
        </w:tc>
      </w:tr>
      <w:tr>
        <w:trPr>
          <w:trHeight w:val="41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w:t>
            </w:r>
          </w:p>
        </w:tc>
      </w:tr>
      <w:tr>
        <w:trPr>
          <w:trHeight w:val="41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w:t>
            </w:r>
          </w:p>
        </w:tc>
      </w:tr>
      <w:tr>
        <w:trPr>
          <w:trHeight w:val="41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5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w:t>
            </w:r>
          </w:p>
        </w:tc>
      </w:tr>
      <w:tr>
        <w:trPr>
          <w:trHeight w:val="31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3"/>
        </w:trPr>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220" w:lineRule="exact"/>
        <w:rPr>
          <w:sz w:val="20"/>
          <w:szCs w:val="20"/>
          <w:color w:val="auto"/>
        </w:rPr>
      </w:pPr>
    </w:p>
    <w:p>
      <w:pPr>
        <w:sectPr>
          <w:pgSz w:w="11900" w:h="16838" w:orient="portrait"/>
          <w:cols w:equalWidth="0" w:num="2">
            <w:col w:w="3340" w:space="700"/>
            <w:col w:w="497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60" w:name="page61"/>
    <w:bookmarkEnd w:id="6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REPRESENTATIVE OF THE REGISTRANT</w:t>
      </w:r>
    </w:p>
    <w:p>
      <w:pPr>
        <w:spacing w:after="0" w:line="125"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Under the Securities Act, the undersigned, the duly authorized representative in the United States of Aurora Mobile Limited, has signed this registration statement in Newark, Delaware on March 27, 2026.</w:t>
      </w:r>
    </w:p>
    <w:p>
      <w:pPr>
        <w:spacing w:after="0" w:line="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Authorized U.S. Representative</w:t>
      </w:r>
    </w:p>
    <w:p>
      <w:pPr>
        <w:spacing w:after="0" w:line="1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Puglisi &amp; Associates</w:t>
      </w:r>
    </w:p>
    <w:p>
      <w:pPr>
        <w:spacing w:after="0" w:line="2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40640</wp:posOffset>
            </wp:positionV>
            <wp:extent cx="19240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7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tab/>
        <w:t>Donald J. Puglisi</w:t>
      </w:r>
    </w:p>
    <w:p>
      <w:pPr>
        <w:spacing w:after="0" w:line="22" w:lineRule="exact"/>
        <w:rPr>
          <w:sz w:val="20"/>
          <w:szCs w:val="20"/>
          <w:color w:val="auto"/>
        </w:rPr>
      </w:pPr>
    </w:p>
    <w:p>
      <w:pPr>
        <w:ind w:left="468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41680" cy="721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41680" cy="72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Our ref</w:t>
      </w:r>
      <w:r>
        <w:rPr>
          <w:sz w:val="20"/>
          <w:szCs w:val="20"/>
          <w:color w:val="auto"/>
        </w:rPr>
        <w:tab/>
      </w:r>
      <w:r>
        <w:rPr>
          <w:rFonts w:ascii="Times New Roman" w:cs="Times New Roman" w:eastAsia="Times New Roman" w:hAnsi="Times New Roman"/>
          <w:sz w:val="14"/>
          <w:szCs w:val="14"/>
          <w:color w:val="auto"/>
        </w:rPr>
        <w:t>VSL/741908-000005/86199589v3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Aurora Mobile Limited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31/F, Block 12-A, Shenzhen Bay Science and Technology Ecological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Nanshan District, Shenzhen, Guangdong 518057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March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Aurora Mobile Limited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acted as Cayman Islands legal advisers to Aurora Mobile Limited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Company’s registration statement on Form F-3, including all amendments or supplements thereto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filed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U.S. Securities Act of 1933, as amended to date relating to the resale by the selling shareholder identified in the Registration Statement (the "</w:t>
      </w:r>
      <w:r>
        <w:rPr>
          <w:rFonts w:ascii="Times New Roman" w:cs="Times New Roman" w:eastAsia="Times New Roman" w:hAnsi="Times New Roman"/>
          <w:sz w:val="14"/>
          <w:szCs w:val="14"/>
          <w:b w:val="1"/>
          <w:bCs w:val="1"/>
          <w:color w:val="auto"/>
        </w:rPr>
        <w:t>Selling Shareholder</w:t>
      </w:r>
      <w:r>
        <w:rPr>
          <w:rFonts w:ascii="Times New Roman" w:cs="Times New Roman" w:eastAsia="Times New Roman" w:hAnsi="Times New Roman"/>
          <w:sz w:val="14"/>
          <w:szCs w:val="14"/>
          <w:color w:val="auto"/>
        </w:rPr>
        <w:t>") of 9,666,666 Class A common shares of the Company of a par value of US$0.0001 each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including as may be represented by American depositary shares of the Company (the "</w:t>
      </w:r>
      <w:r>
        <w:rPr>
          <w:rFonts w:ascii="Times New Roman" w:cs="Times New Roman" w:eastAsia="Times New Roman" w:hAnsi="Times New Roman"/>
          <w:sz w:val="14"/>
          <w:szCs w:val="14"/>
          <w:b w:val="1"/>
          <w:bCs w:val="1"/>
          <w:color w:val="auto"/>
        </w:rPr>
        <w:t>ADSs</w:t>
      </w:r>
      <w:r>
        <w:rPr>
          <w:rFonts w:ascii="Times New Roman" w:cs="Times New Roman" w:eastAsia="Times New Roman" w:hAnsi="Times New Roman"/>
          <w:sz w:val="14"/>
          <w:szCs w:val="14"/>
          <w:color w:val="auto"/>
        </w:rPr>
        <w:t>"), issuable to the Selling Shareholder upon exercise of the warrant to purchase Warrant Shares (the "</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issued by the Company to the Selling Shareholder dated 11 February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furnishing this opinion as Exhibit 5.1, 8.1 and 23.2 to the Registration Statement.</w:t>
      </w:r>
    </w:p>
    <w:p>
      <w:pPr>
        <w:spacing w:after="0" w:line="195" w:lineRule="exact"/>
        <w:rPr>
          <w:sz w:val="20"/>
          <w:szCs w:val="20"/>
          <w:color w:val="auto"/>
        </w:rPr>
      </w:pPr>
    </w:p>
    <w:p>
      <w:pPr>
        <w:ind w:left="500" w:hanging="496"/>
        <w:spacing w:after="0"/>
        <w:tabs>
          <w:tab w:leader="none" w:pos="50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Reviewed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this opinion, we have reviewed only originals, copies or final drafts of the following documents: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The certificate of incorporation of the Company dated 9 April 2014 issued by the Registrar of Companies in the Cayman Islands (the "</w:t>
      </w:r>
      <w:r>
        <w:rPr>
          <w:rFonts w:ascii="Times New Roman" w:cs="Times New Roman" w:eastAsia="Times New Roman" w:hAnsi="Times New Roman"/>
          <w:sz w:val="14"/>
          <w:szCs w:val="14"/>
          <w:b w:val="1"/>
          <w:bCs w:val="1"/>
          <w:color w:val="auto"/>
        </w:rPr>
        <w:t>Registrar of Companies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The seventh amended and restated memorandum and articles of association of the Company as conditionally adopted by a special resolution passed on 27 June 2018 and effective immediately prior to the completion of the Company’s initial public offering of the ADSs representing the Shares (the "</w:t>
      </w:r>
      <w:r>
        <w:rPr>
          <w:rFonts w:ascii="Times New Roman" w:cs="Times New Roman" w:eastAsia="Times New Roman" w:hAnsi="Times New Roman"/>
          <w:sz w:val="14"/>
          <w:szCs w:val="14"/>
          <w:b w:val="1"/>
          <w:bCs w:val="1"/>
          <w:color w:val="auto"/>
        </w:rPr>
        <w:t>Memorandum and Articles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The written resolutions of the board of directors of the Company dated 2 February 2026 and 20 March 2026 (the "</w:t>
      </w:r>
      <w:r>
        <w:rPr>
          <w:rFonts w:ascii="Times New Roman" w:cs="Times New Roman" w:eastAsia="Times New Roman" w:hAnsi="Times New Roman"/>
          <w:sz w:val="14"/>
          <w:szCs w:val="14"/>
          <w:b w:val="1"/>
          <w:bCs w:val="1"/>
          <w:color w:val="auto"/>
        </w:rPr>
        <w:t>Board Resolutions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A certificate of good standing with respect to the Company issued by the Registrar of Companies dated 6 February 2026 (the "</w:t>
      </w:r>
      <w:r>
        <w:rPr>
          <w:rFonts w:ascii="Times New Roman" w:cs="Times New Roman" w:eastAsia="Times New Roman" w:hAnsi="Times New Roman"/>
          <w:sz w:val="14"/>
          <w:szCs w:val="14"/>
          <w:b w:val="1"/>
          <w:bCs w:val="1"/>
          <w:color w:val="auto"/>
        </w:rPr>
        <w:t>Certificate of Good Standing</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A certificate from a director of the Company a copy of which is attached to this opinion letter (the "</w:t>
      </w: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The Registration Statement.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3"/>
          <w:szCs w:val="13"/>
          <w:color w:val="auto"/>
        </w:rPr>
        <w:t>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2" w:name="page63"/>
    <w:bookmarkEnd w:id="62"/>
    <w:p>
      <w:pPr>
        <w:ind w:left="500" w:hanging="496"/>
        <w:spacing w:after="0"/>
        <w:tabs>
          <w:tab w:leader="none" w:pos="50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Copies of documents, conformed copies or drafts of documents provided to us are true and complete copies of, or in the final forms of, the originals.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All signatures, initials and seals are genuine.</w:t>
      </w:r>
    </w:p>
    <w:p>
      <w:pPr>
        <w:spacing w:after="0" w:line="176"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 Warrant has been or will be authorised and duly executed and unconditionally delivered by or on behalf of all relevant parties in accordance with all relevant laws (other than, with respect to the Company, the laws of the Cayman Islands).</w:t>
      </w:r>
    </w:p>
    <w:p>
      <w:pPr>
        <w:spacing w:after="0" w:line="125"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The Warrant is, or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125" w:lineRule="exact"/>
        <w:rPr>
          <w:sz w:val="20"/>
          <w:szCs w:val="20"/>
          <w:color w:val="auto"/>
        </w:rPr>
      </w:pPr>
    </w:p>
    <w:p>
      <w:pPr>
        <w:jc w:val="both"/>
        <w:ind w:left="500" w:hanging="504"/>
        <w:spacing w:after="0" w:line="267"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choice of the laws of the State of New York as the governing law of the Warrant has been made in good faith and would be regarded as a valid and binding selection which will be upheld by the state and federal courts sitting in the City of New York, Borough of Manhattan and any other relevant jurisdiction (other than the Cayman Islands) as a matter of the laws of the State of New York and all other relevant laws (other than the laws of the Cayman Islands).</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The Company has, or will have, sufficient authorized but unissued shares in its authorized share capital to enable the Company to issue the Warrant Shares upon exercise of the Warrant.</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color w:val="auto"/>
        </w:rPr>
        <w:t>The Company will receive money or money's worth in consideration for the issue of the Warrant Shares, and none of such Warrant Shares will be issued for less than their par value.</w:t>
      </w:r>
    </w:p>
    <w:p>
      <w:pPr>
        <w:spacing w:after="0" w:line="176"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Warrant.</w:t>
      </w:r>
    </w:p>
    <w:p>
      <w:pPr>
        <w:spacing w:after="0" w:line="125"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4"/>
          <w:szCs w:val="14"/>
          <w:color w:val="auto"/>
        </w:rPr>
        <w:t>There is no contractual or other prohibition or restriction (other than as arising under Cayman Islands law) binding on the Company prohibiting or restricting it from entering into and performing its obligations under the Warrant.</w:t>
      </w:r>
    </w:p>
    <w:p>
      <w:pPr>
        <w:spacing w:after="0" w:line="125" w:lineRule="exact"/>
        <w:rPr>
          <w:sz w:val="20"/>
          <w:szCs w:val="20"/>
          <w:color w:val="auto"/>
        </w:rPr>
      </w:pPr>
    </w:p>
    <w:p>
      <w:pPr>
        <w:jc w:val="both"/>
        <w:ind w:left="500" w:hanging="504"/>
        <w:spacing w:after="0" w:line="267" w:lineRule="auto"/>
        <w:tabs>
          <w:tab w:leader="none" w:pos="48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4"/>
          <w:szCs w:val="14"/>
          <w:color w:val="auto"/>
        </w:rPr>
        <w:t>No monies paid to or for the account of any party under the Warrant or any property received or disposed of by any party to the Warrant in each case in connection with the Warrant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3" w:name="page64"/>
    <w:bookmarkEnd w:id="63"/>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color w:val="auto"/>
        </w:rPr>
        <w:t>At the time of the exercise of the Warrant into Warrant Shares in accordance with the terms and provisions of the Warrant (the "</w:t>
      </w:r>
      <w:r>
        <w:rPr>
          <w:rFonts w:ascii="Times New Roman" w:cs="Times New Roman" w:eastAsia="Times New Roman" w:hAnsi="Times New Roman"/>
          <w:sz w:val="13"/>
          <w:szCs w:val="13"/>
          <w:b w:val="1"/>
          <w:bCs w:val="1"/>
          <w:color w:val="auto"/>
        </w:rPr>
        <w:t>Exercise</w:t>
      </w:r>
      <w:r>
        <w:rPr>
          <w:rFonts w:ascii="Times New Roman" w:cs="Times New Roman" w:eastAsia="Times New Roman" w:hAnsi="Times New Roman"/>
          <w:sz w:val="13"/>
          <w:szCs w:val="13"/>
          <w:color w:val="auto"/>
        </w:rPr>
        <w:t>"):</w:t>
      </w:r>
    </w:p>
    <w:p>
      <w:pPr>
        <w:spacing w:after="0" w:line="176" w:lineRule="exact"/>
        <w:rPr>
          <w:sz w:val="20"/>
          <w:szCs w:val="20"/>
          <w:color w:val="auto"/>
        </w:rPr>
      </w:pPr>
    </w:p>
    <w:p>
      <w:pPr>
        <w:ind w:left="1020" w:hanging="511"/>
        <w:spacing w:after="0" w:line="286" w:lineRule="auto"/>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the Cayman Islands (including the Companies Act (As Revised) (the "</w:t>
      </w:r>
      <w:r>
        <w:rPr>
          <w:rFonts w:ascii="Times New Roman" w:cs="Times New Roman" w:eastAsia="Times New Roman" w:hAnsi="Times New Roman"/>
          <w:sz w:val="14"/>
          <w:szCs w:val="14"/>
          <w:b w:val="1"/>
          <w:bCs w:val="1"/>
          <w:color w:val="auto"/>
        </w:rPr>
        <w:t>Companies Act</w:t>
      </w:r>
      <w:r>
        <w:rPr>
          <w:rFonts w:ascii="Times New Roman" w:cs="Times New Roman" w:eastAsia="Times New Roman" w:hAnsi="Times New Roman"/>
          <w:sz w:val="14"/>
          <w:szCs w:val="14"/>
          <w:color w:val="auto"/>
        </w:rPr>
        <w:t>") will not have changed in such way as to materially impact the issue of such Warrant Shares;</w:t>
      </w:r>
    </w:p>
    <w:p>
      <w:pPr>
        <w:spacing w:after="0" w:line="123" w:lineRule="exact"/>
        <w:rPr>
          <w:rFonts w:ascii="Times New Roman" w:cs="Times New Roman" w:eastAsia="Times New Roman" w:hAnsi="Times New Roman"/>
          <w:sz w:val="14"/>
          <w:szCs w:val="14"/>
          <w:color w:val="auto"/>
        </w:rPr>
      </w:pPr>
    </w:p>
    <w:p>
      <w:pPr>
        <w:ind w:left="1020" w:hanging="511"/>
        <w:spacing w:after="0" w:line="283" w:lineRule="auto"/>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have sufficient authorised but unallotted and unissued Class A ordinary shares of the Company of a par value of US$0.002 each, in each case to effect the Exercise in accordance with the terms and provisions of the Warrant, then then effective memorandum and articles of association of the Company and the Companies Act;</w:t>
      </w:r>
    </w:p>
    <w:p>
      <w:pPr>
        <w:spacing w:after="0" w:line="12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have been struck off or placed in liquidation;</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price for each Warrant Share to be issued upon the Exercise will not be less than the par value of such Warrant Share;</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provisions of the Warrant relating to the Exercise will not have been altered, amended or restated; and</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then effective memorandum and articles of association of the Company will not contain anything which would or might affect the opinions set out below.</w:t>
      </w:r>
    </w:p>
    <w:p>
      <w:pPr>
        <w:spacing w:after="0" w:line="176" w:lineRule="exact"/>
        <w:rPr>
          <w:sz w:val="20"/>
          <w:szCs w:val="20"/>
          <w:color w:val="auto"/>
        </w:rPr>
      </w:pPr>
    </w:p>
    <w:p>
      <w:pPr>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color w:val="auto"/>
        </w:rPr>
        <w:t>There is nothing under any law (other than the laws of the Cayman Islands) which would or might affect the opinions set out below. Specifically, we have made no independent investigation of the laws of the State of New York.</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4"/>
          <w:szCs w:val="14"/>
          <w:color w:val="auto"/>
        </w:rPr>
        <w:t>There is nothing contained in the minute book or corporate records of the Company (which we have not inspected) which would or might affect the opinions set out below.</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3"/>
          <w:szCs w:val="13"/>
          <w:color w:val="auto"/>
        </w:rPr>
        <w:t>The issue of the Warrant and the Warrant Shares under the Warrant will be of commercial benefit to the Company.</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3"/>
          <w:szCs w:val="13"/>
          <w:color w:val="auto"/>
        </w:rPr>
        <w:t>No invitation has been or will be made by or on behalf of the Company to the public in the Cayman Islands to subscribe for any of the Warrant Shares, or the Warrant.</w:t>
      </w:r>
    </w:p>
    <w:p>
      <w:pPr>
        <w:spacing w:after="0" w:line="174" w:lineRule="exact"/>
        <w:rPr>
          <w:sz w:val="20"/>
          <w:szCs w:val="20"/>
          <w:color w:val="auto"/>
        </w:rPr>
      </w:pPr>
    </w:p>
    <w:p>
      <w:pPr>
        <w:ind w:left="500" w:hanging="496"/>
        <w:spacing w:after="0"/>
        <w:tabs>
          <w:tab w:leader="none" w:pos="50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set out below and having regard to such legal considerations as we deem relevant, we are of the opinion that:</w:t>
      </w:r>
    </w:p>
    <w:p>
      <w:pPr>
        <w:spacing w:after="0" w:line="176"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The Company has been duly incorporated as an exempted company with limited liability and is validly existing and in good standing with the Registrar of Companies under the laws of the Cayman Islands.</w:t>
      </w:r>
    </w:p>
    <w:p>
      <w:pPr>
        <w:spacing w:after="0" w:line="125" w:lineRule="exact"/>
        <w:rPr>
          <w:sz w:val="20"/>
          <w:szCs w:val="20"/>
          <w:color w:val="auto"/>
        </w:rPr>
      </w:pPr>
    </w:p>
    <w:p>
      <w:pPr>
        <w:jc w:val="both"/>
        <w:ind w:left="500" w:hanging="504"/>
        <w:spacing w:after="0" w:line="267" w:lineRule="auto"/>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The authorised share capital of the Company is US$500,000 divided into 5,000,000,000 shares comprising of (i) 4,920,000,000 Class A Common Shares of a par value of US$0.0001 each, (ii) 30,000,000 Class B Common Shares of a par value of US$0.0001 each, and (iii) 50,000,000 shares of a par value of US$0.0001 each of such class or classes (however designated) as the board of directors may determine in accordance with the Memorandum and Articles.</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4" w:name="page65"/>
    <w:bookmarkEnd w:id="64"/>
    <w:p>
      <w:pPr>
        <w:jc w:val="both"/>
        <w:ind w:left="500" w:hanging="504"/>
        <w:spacing w:after="0" w:line="267" w:lineRule="auto"/>
        <w:tabs>
          <w:tab w:leader="none" w:pos="48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The issue and allotment of the Warrant Shares upon exercise of the Warrant, have been duly authorised and when allotted, issued and paid for as contemplated in the Registration Statement and the Warrant, such Warrant Shares will be legally issued and allotted, fully paid and non-assessable. As a matter of Cayman law, a share is only issued when it has been entered in the register of members (shareholders).</w:t>
      </w:r>
    </w:p>
    <w:p>
      <w:pPr>
        <w:spacing w:after="0" w:line="136" w:lineRule="exact"/>
        <w:rPr>
          <w:sz w:val="20"/>
          <w:szCs w:val="20"/>
          <w:color w:val="auto"/>
        </w:rPr>
      </w:pPr>
    </w:p>
    <w:p>
      <w:pPr>
        <w:jc w:val="both"/>
        <w:ind w:left="500" w:hanging="504"/>
        <w:spacing w:after="0" w:line="267" w:lineRule="auto"/>
        <w:tabs>
          <w:tab w:leader="none" w:pos="48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The execution, issue, delivery and performance of the Warrant have been authorised by and on behalf of the Company and, upon the execution and unconditional delivery of the Warrant by a Director of the Company in accordance with the Board Resolutions for and on behalf of the Company, the Warrant will have been duly executed, issued and delivered on behalf of the Company and will constitute the legal, valid and binding obligations of the Company enforceable in accordance with their terms.</w:t>
      </w:r>
    </w:p>
    <w:p>
      <w:pPr>
        <w:spacing w:after="0" w:line="134" w:lineRule="exact"/>
        <w:rPr>
          <w:sz w:val="20"/>
          <w:szCs w:val="20"/>
          <w:color w:val="auto"/>
        </w:rPr>
      </w:pPr>
    </w:p>
    <w:p>
      <w:pPr>
        <w:ind w:left="500" w:hanging="496"/>
        <w:spacing w:after="0"/>
        <w:tabs>
          <w:tab w:leader="none" w:pos="50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Qualifications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qualifications:</w:t>
      </w:r>
    </w:p>
    <w:p>
      <w:pPr>
        <w:spacing w:after="0" w:line="176" w:lineRule="exact"/>
        <w:rPr>
          <w:sz w:val="20"/>
          <w:szCs w:val="20"/>
          <w:color w:val="auto"/>
        </w:rPr>
      </w:pPr>
    </w:p>
    <w:p>
      <w:pPr>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The obligations assumed by the Company under the Warrant and the Warrant will not necessarily be enforceable in all circumstances in accordance with their terms. In particular:</w:t>
      </w:r>
    </w:p>
    <w:p>
      <w:pPr>
        <w:spacing w:after="0" w:line="176" w:lineRule="exact"/>
        <w:rPr>
          <w:sz w:val="20"/>
          <w:szCs w:val="20"/>
          <w:color w:val="auto"/>
        </w:rPr>
      </w:pPr>
    </w:p>
    <w:p>
      <w:pPr>
        <w:ind w:left="1020" w:hanging="511"/>
        <w:spacing w:after="0" w:line="283"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23" w:lineRule="exact"/>
        <w:rPr>
          <w:rFonts w:ascii="Times New Roman" w:cs="Times New Roman" w:eastAsia="Times New Roman" w:hAnsi="Times New Roman"/>
          <w:sz w:val="14"/>
          <w:szCs w:val="14"/>
          <w:color w:val="auto"/>
        </w:rPr>
      </w:pPr>
    </w:p>
    <w:p>
      <w:pPr>
        <w:ind w:left="1020" w:hanging="511"/>
        <w:spacing w:after="0" w:line="286"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where damages are considered to be an adequate remedy;</w:t>
      </w:r>
    </w:p>
    <w:p>
      <w:pPr>
        <w:spacing w:after="0" w:line="123"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claims may become barred under relevant statutes of limitation or may be or become subject to defences of set off, counterclaim, estoppel and similar defences;</w:t>
      </w:r>
    </w:p>
    <w:p>
      <w:pPr>
        <w:spacing w:after="0" w:line="175" w:lineRule="exact"/>
        <w:rPr>
          <w:rFonts w:ascii="Times New Roman" w:cs="Times New Roman" w:eastAsia="Times New Roman" w:hAnsi="Times New Roman"/>
          <w:sz w:val="14"/>
          <w:szCs w:val="14"/>
          <w:color w:val="auto"/>
        </w:rPr>
      </w:pPr>
    </w:p>
    <w:p>
      <w:pPr>
        <w:ind w:left="1020" w:hanging="511"/>
        <w:spacing w:after="0" w:line="283"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25" w:lineRule="exact"/>
        <w:rPr>
          <w:rFonts w:ascii="Times New Roman" w:cs="Times New Roman" w:eastAsia="Times New Roman" w:hAnsi="Times New Roman"/>
          <w:sz w:val="14"/>
          <w:szCs w:val="14"/>
          <w:color w:val="auto"/>
        </w:rPr>
      </w:pPr>
    </w:p>
    <w:p>
      <w:pPr>
        <w:jc w:val="both"/>
        <w:ind w:left="1020" w:hanging="511"/>
        <w:spacing w:after="0" w:line="261"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41"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arrangements that constitute penalties will not be enforceable;</w:t>
      </w: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5" w:name="page66"/>
    <w:bookmarkEnd w:id="65"/>
    <w:p>
      <w:pPr>
        <w:ind w:left="1020" w:hanging="511"/>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may be prevented by reason of fraud, coercion, duress, undue influence, misrepresentation, public policy or mistake or limited by the doctrine of frustration of contracts;</w:t>
      </w:r>
    </w:p>
    <w:p>
      <w:pPr>
        <w:spacing w:after="0" w:line="175" w:lineRule="exact"/>
        <w:rPr>
          <w:rFonts w:ascii="Times New Roman" w:cs="Times New Roman" w:eastAsia="Times New Roman" w:hAnsi="Times New Roman"/>
          <w:sz w:val="14"/>
          <w:szCs w:val="14"/>
          <w:color w:val="auto"/>
        </w:rPr>
      </w:pPr>
    </w:p>
    <w:p>
      <w:pPr>
        <w:ind w:left="1020" w:hanging="511"/>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imposing confidentiality obligations may be overridden by compulsion of applicable law or the requirements of legal and/or regulatory process;</w:t>
      </w:r>
    </w:p>
    <w:p>
      <w:pPr>
        <w:spacing w:after="0" w:line="175" w:lineRule="exact"/>
        <w:rPr>
          <w:rFonts w:ascii="Times New Roman" w:cs="Times New Roman" w:eastAsia="Times New Roman" w:hAnsi="Times New Roman"/>
          <w:sz w:val="14"/>
          <w:szCs w:val="14"/>
          <w:color w:val="auto"/>
        </w:rPr>
      </w:pPr>
    </w:p>
    <w:p>
      <w:pPr>
        <w:ind w:left="1020" w:hanging="511"/>
        <w:spacing w:after="0" w:line="283"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courts of the Cayman Islands may decline to exercise jurisdiction in relation to substantive proceedings brought under or in relation to the Warrant in matters where they determine that such proceedings may be tried in a more appropriate forum;</w:t>
      </w:r>
    </w:p>
    <w:p>
      <w:pPr>
        <w:spacing w:after="0" w:line="125" w:lineRule="exact"/>
        <w:rPr>
          <w:rFonts w:ascii="Times New Roman" w:cs="Times New Roman" w:eastAsia="Times New Roman" w:hAnsi="Times New Roman"/>
          <w:sz w:val="14"/>
          <w:szCs w:val="14"/>
          <w:color w:val="auto"/>
        </w:rPr>
      </w:pPr>
    </w:p>
    <w:p>
      <w:pPr>
        <w:ind w:left="1020" w:hanging="511"/>
        <w:spacing w:after="0" w:line="283"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reserve our opinion as to the enforceability of the relevant provisions of the Warrant to the extent that they purport to grant exclusive jurisdiction as there may be circumstances in which the courts of the Cayman Islands would accept jurisdiction notwithstanding such provisions;</w:t>
      </w:r>
    </w:p>
    <w:p>
      <w:pPr>
        <w:spacing w:after="0" w:line="125" w:lineRule="exact"/>
        <w:rPr>
          <w:rFonts w:ascii="Times New Roman" w:cs="Times New Roman" w:eastAsia="Times New Roman" w:hAnsi="Times New Roman"/>
          <w:sz w:val="14"/>
          <w:szCs w:val="14"/>
          <w:color w:val="auto"/>
        </w:rPr>
      </w:pPr>
    </w:p>
    <w:p>
      <w:pPr>
        <w:jc w:val="both"/>
        <w:ind w:left="1020" w:hanging="511"/>
        <w:spacing w:after="0" w:line="267"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cannot, by agreement or in its articles of association, restrict the exercise of a statutory power and there is doubt as to the enforceability of any provision in the Warrant whereby the Company covenants to restrict the exercise of powers specifically given to it under the Companies Act, including, without limitation, the power to increase its authorised share capital, amend its memorandum and articles of association or present a petition to a Cayman Islands court for an order to wind up the Company; and</w:t>
      </w:r>
    </w:p>
    <w:p>
      <w:pPr>
        <w:spacing w:after="0" w:line="136" w:lineRule="exact"/>
        <w:rPr>
          <w:rFonts w:ascii="Times New Roman" w:cs="Times New Roman" w:eastAsia="Times New Roman" w:hAnsi="Times New Roman"/>
          <w:sz w:val="14"/>
          <w:szCs w:val="14"/>
          <w:color w:val="auto"/>
        </w:rPr>
      </w:pPr>
    </w:p>
    <w:p>
      <w:pPr>
        <w:jc w:val="both"/>
        <w:ind w:left="1020" w:hanging="511"/>
        <w:spacing w:after="0" w:line="267"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or performance of any provision in the Warrant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rFonts w:ascii="Times New Roman" w:cs="Times New Roman" w:eastAsia="Times New Roman" w:hAnsi="Times New Roman"/>
          <w:sz w:val="14"/>
          <w:szCs w:val="14"/>
          <w:b w:val="1"/>
          <w:bCs w:val="1"/>
          <w:color w:val="auto"/>
        </w:rPr>
        <w:t>BOT Act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Applicable court fees will be payable in respect of the enforcement of the Warrant and the Warrant.</w:t>
      </w:r>
    </w:p>
    <w:p>
      <w:pPr>
        <w:spacing w:after="0" w:line="176" w:lineRule="exact"/>
        <w:rPr>
          <w:sz w:val="20"/>
          <w:szCs w:val="20"/>
          <w:color w:val="auto"/>
        </w:rPr>
      </w:pPr>
    </w:p>
    <w:p>
      <w:pPr>
        <w:jc w:val="both"/>
        <w:ind w:left="500" w:hanging="504"/>
        <w:spacing w:after="0" w:line="283" w:lineRule="auto"/>
        <w:tabs>
          <w:tab w:leader="none" w:pos="48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color w:val="auto"/>
        </w:rPr>
        <w:t>We express no opinion as to the meaning, validity or effect of any references to foreign (i.e. non-Cayman Islands) statutes, rules, regulations, codes, judicial authority or any other promulgations and any references to them in the Warrant or the Warrant.</w:t>
      </w:r>
    </w:p>
    <w:p>
      <w:pPr>
        <w:spacing w:after="0" w:line="125" w:lineRule="exact"/>
        <w:rPr>
          <w:sz w:val="20"/>
          <w:szCs w:val="20"/>
          <w:color w:val="auto"/>
        </w:rPr>
      </w:pPr>
    </w:p>
    <w:p>
      <w:pPr>
        <w:jc w:val="both"/>
        <w:ind w:left="500" w:hanging="504"/>
        <w:spacing w:after="0" w:line="261" w:lineRule="auto"/>
        <w:tabs>
          <w:tab w:leader="none" w:pos="48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color w:val="auto"/>
        </w:rPr>
        <w:t>In this opinion the phrase "non-assessable" means, with respect to ordinary shares of the Company, that a shareholder shall not, solely by virtue of its status as a shareholder and in absence of a contractual arrangement, or an obligation pursuant to the memorandum and articles of association, to the contrary, be liable for additional assessments or calls on the ordinary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6" w:name="page67"/>
    <w:bookmarkEnd w:id="66"/>
    <w:p>
      <w:pPr>
        <w:jc w:val="both"/>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name under the headings "Enforceability of Civil Liabilities"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Maples and Calder (Hong Kong)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Maples and Calder (Hong Kong) LLP</w:t>
      </w: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67" w:name="page68"/>
    <w:bookmarkEnd w:id="67"/>
    <w:p>
      <w:pPr>
        <w:ind w:left="10500"/>
        <w:spacing w:after="0"/>
        <w:rPr>
          <w:sz w:val="20"/>
          <w:szCs w:val="20"/>
          <w:color w:val="auto"/>
        </w:rPr>
      </w:pPr>
      <w:r>
        <w:rPr>
          <w:rFonts w:ascii="Times New Roman" w:cs="Times New Roman" w:eastAsia="Times New Roman" w:hAnsi="Times New Roman"/>
          <w:sz w:val="16"/>
          <w:szCs w:val="16"/>
          <w:b w:val="1"/>
          <w:bCs w:val="1"/>
          <w:color w:val="auto"/>
        </w:rPr>
        <w:t>Exhibit 8.2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20/F, Kerry Plaza Tower 3, 1-1 Zhongxinsi Road, Futian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6276340</wp:posOffset>
            </wp:positionH>
            <wp:positionV relativeFrom="paragraph">
              <wp:posOffset>-92075</wp:posOffset>
            </wp:positionV>
            <wp:extent cx="888365" cy="400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888365" cy="4006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Shenzhen 518048, Guangdong, PRC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+86 755 3680 6500 Fax: +86 755 3680 6599</w:t>
      </w:r>
    </w:p>
    <w:p>
      <w:pPr>
        <w:spacing w:after="0" w:line="7" w:lineRule="exact"/>
        <w:rPr>
          <w:sz w:val="20"/>
          <w:szCs w:val="20"/>
          <w:color w:val="auto"/>
        </w:rPr>
      </w:pPr>
    </w:p>
    <w:p>
      <w:pPr>
        <w:ind w:right="5560"/>
        <w:spacing w:after="0" w:line="261" w:lineRule="auto"/>
        <w:rPr>
          <w:sz w:val="20"/>
          <w:szCs w:val="20"/>
          <w:color w:val="auto"/>
        </w:rPr>
      </w:pPr>
      <w:r>
        <w:rPr>
          <w:rFonts w:ascii="Times New Roman" w:cs="Times New Roman" w:eastAsia="Times New Roman" w:hAnsi="Times New Roman"/>
          <w:sz w:val="14"/>
          <w:szCs w:val="14"/>
          <w:color w:val="auto"/>
        </w:rPr>
        <w:t xml:space="preserve">Beijing · Shanghai · Shenzhen · Hong Kong · Haikou · Wuhan · Singapore · New York · Silicon Valley </w:t>
      </w:r>
      <w:r>
        <w:rPr>
          <w:rFonts w:ascii="Times New Roman" w:cs="Times New Roman" w:eastAsia="Times New Roman" w:hAnsi="Times New Roman"/>
          <w:sz w:val="14"/>
          <w:szCs w:val="14"/>
          <w:u w:val="single" w:color="auto"/>
          <w:color w:val="auto"/>
        </w:rPr>
        <w:t>www.hankunlaw.com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2026</w:t>
      </w:r>
    </w:p>
    <w:p>
      <w:pPr>
        <w:spacing w:after="0" w:line="1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14"/>
          <w:szCs w:val="14"/>
          <w:color w:val="auto"/>
        </w:rPr>
        <w:t>Aurora Mobile Limited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31/F, Block 12-A, Shenzhen Bay Science and Technology Ecological Park,</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Nanshan District</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Shenzhen, Guangdong 518057</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 Legal Opinion on Certain PRC Legal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 or Madams:</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We are lawyers qualified in the People’s Republic of China (the “</w:t>
      </w:r>
      <w:r>
        <w:rPr>
          <w:rFonts w:ascii="Times New Roman" w:cs="Times New Roman" w:eastAsia="Times New Roman" w:hAnsi="Times New Roman"/>
          <w:sz w:val="14"/>
          <w:szCs w:val="14"/>
          <w:u w:val="single" w:color="auto"/>
          <w:color w:val="auto"/>
        </w:rPr>
        <w:t>PRC</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China</w:t>
      </w:r>
      <w:r>
        <w:rPr>
          <w:rFonts w:ascii="Times New Roman" w:cs="Times New Roman" w:eastAsia="Times New Roman" w:hAnsi="Times New Roman"/>
          <w:sz w:val="14"/>
          <w:szCs w:val="14"/>
          <w:color w:val="auto"/>
        </w:rPr>
        <w:t>”, which, for purposes of this opinion only, does not include the Hong Kong Special Administrative Region, the Macau Special Administrative Region or Taiwan) and as such are qualified to issue this opinion on the laws and regulations of the PRC effective as of the date hereof.</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acting as PRC counsel to the Company, a company incorporated under the laws of the Cayman Islands, in connection with the proposed resale or other disposition of 9,666,666 of Class A common shares of the Company, represented by 725,000 American Depositary Shares, or ADSs, issuable upon the exercise of warrant, or the Warrant, by the selling securityholder identified in the Company’s registration statement (the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on Form F-3, including a base prospectus, and the prospectus supplement, including any amendments or supplements thereto (the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Statement</w:t>
      </w:r>
      <w:r>
        <w:rPr>
          <w:rFonts w:ascii="Times New Roman" w:cs="Times New Roman" w:eastAsia="Times New Roman" w:hAnsi="Times New Roman"/>
          <w:sz w:val="14"/>
          <w:szCs w:val="14"/>
          <w:color w:val="auto"/>
        </w:rPr>
        <w:t>”), filed by the Company with the Securities and Exchange Commission under the U.S. Securities Act of 1933 (as amended) in relation to the Offering. The Warrant was issued by the Company to the selling securityholder on February 11, 2026, in a private placement offering.</w:t>
      </w:r>
    </w:p>
    <w:p>
      <w:pPr>
        <w:spacing w:after="0" w:line="139" w:lineRule="exact"/>
        <w:rPr>
          <w:sz w:val="20"/>
          <w:szCs w:val="20"/>
          <w:color w:val="auto"/>
        </w:rPr>
      </w:pPr>
    </w:p>
    <w:p>
      <w:pPr>
        <w:ind w:left="440" w:hanging="436"/>
        <w:spacing w:after="0"/>
        <w:tabs>
          <w:tab w:leader="none" w:pos="44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and Assumptions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rendering this opinion, we have carried out due diligence, reviewed and examined copies of the Registration Statement, and other documents as we have considered necessary or advisable for the purpose of rendering this opinion, including but not limited to originals or copies of the due diligence documents provided to us by the Company and the PRC Companies (as defined below) and such other documents, corporate records and certificates issued by the Governmental Agencies (collectively, the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Where certain facts were not independently established and verified by us, we have relied upon certificates or statements issued or made by competent Governmental Agencies (as defined below) or appropriate representatives of the Company or the PRC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rendering this opinion, we have made the following assumptions (the “</w:t>
      </w:r>
      <w:r>
        <w:rPr>
          <w:rFonts w:ascii="Times New Roman" w:cs="Times New Roman" w:eastAsia="Times New Roman" w:hAnsi="Times New Roman"/>
          <w:sz w:val="14"/>
          <w:szCs w:val="14"/>
          <w:b w:val="1"/>
          <w:bCs w:val="1"/>
          <w:color w:val="auto"/>
        </w:rPr>
        <w:t>Assumptions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360" w:hanging="356"/>
        <w:spacing w:after="0" w:line="283" w:lineRule="auto"/>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signatures, seals and chops are genuine, each signature on behalf of a party thereto is that of a person duly authorized by such party to execute the same, all Documents submitted to us as originals are authentic, and all Documents submitted to us as certified or photostatic copies conform to the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5679440" cy="427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679440"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8" w:name="page69"/>
    <w:bookmarkEnd w:id="68"/>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6447155</wp:posOffset>
            </wp:positionH>
            <wp:positionV relativeFrom="page">
              <wp:posOffset>476250</wp:posOffset>
            </wp:positionV>
            <wp:extent cx="888365" cy="400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888365" cy="400685"/>
                    </a:xfrm>
                    <a:prstGeom prst="rect">
                      <a:avLst/>
                    </a:prstGeom>
                    <a:noFill/>
                  </pic:spPr>
                </pic:pic>
              </a:graphicData>
            </a:graphic>
          </wp:anchor>
        </w:drawing>
      </w:r>
    </w:p>
    <w:p>
      <w:pPr>
        <w:jc w:val="both"/>
        <w:ind w:left="360" w:hanging="356"/>
        <w:spacing w:after="0" w:line="256"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to the Documents, other than the PRC Companies, (a) if a legal person or other entity, is duly organized and validly existing in good standing under the laws of its jurisdiction of organization and/or incorporation; or (b) if an individual, has full capacity for civil conduct; each of them, other than the PRC Companies, has full power and authority to execute, deliver and perform its, her or his obligations under the Documents to which it, she or he is a party, and, if a legal person or other entity, in accordance with the laws of its jurisdiction of organization and/or incorporation or the laws that it is subject to;</w:t>
      </w:r>
    </w:p>
    <w:p>
      <w:pPr>
        <w:spacing w:after="0" w:line="1" w:lineRule="exact"/>
        <w:rPr>
          <w:rFonts w:ascii="Times New Roman" w:cs="Times New Roman" w:eastAsia="Times New Roman" w:hAnsi="Times New Roman"/>
          <w:sz w:val="14"/>
          <w:szCs w:val="14"/>
          <w:color w:val="auto"/>
        </w:rPr>
      </w:pPr>
    </w:p>
    <w:p>
      <w:pPr>
        <w:jc w:val="both"/>
        <w:ind w:left="360" w:hanging="356"/>
        <w:spacing w:after="0" w:line="250"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in the Documents, the Documents that were presented to us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opinion;</w:t>
      </w:r>
    </w:p>
    <w:p>
      <w:pPr>
        <w:spacing w:after="0" w:line="1" w:lineRule="exact"/>
        <w:rPr>
          <w:rFonts w:ascii="Times New Roman" w:cs="Times New Roman" w:eastAsia="Times New Roman" w:hAnsi="Times New Roman"/>
          <w:sz w:val="14"/>
          <w:szCs w:val="14"/>
          <w:color w:val="auto"/>
        </w:rPr>
      </w:pPr>
    </w:p>
    <w:p>
      <w:pPr>
        <w:ind w:left="360" w:hanging="356"/>
        <w:spacing w:after="0"/>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jurisdictions other than the PRC which may be applicable to the execution, delivery, performance or enforcement of the Documents are complied with;</w:t>
      </w:r>
    </w:p>
    <w:p>
      <w:pPr>
        <w:spacing w:after="0" w:line="7" w:lineRule="exact"/>
        <w:rPr>
          <w:rFonts w:ascii="Times New Roman" w:cs="Times New Roman" w:eastAsia="Times New Roman" w:hAnsi="Times New Roman"/>
          <w:sz w:val="14"/>
          <w:szCs w:val="14"/>
          <w:color w:val="auto"/>
        </w:rPr>
      </w:pPr>
    </w:p>
    <w:p>
      <w:pPr>
        <w:ind w:left="360" w:hanging="356"/>
        <w:spacing w:after="0"/>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requested Documents have been provided to us and all factual statements made to us by the Company and the PRC Companies in connection with this opinion are true, correct and complete;</w:t>
      </w:r>
    </w:p>
    <w:p>
      <w:pPr>
        <w:spacing w:after="0" w:line="7" w:lineRule="exact"/>
        <w:rPr>
          <w:rFonts w:ascii="Times New Roman" w:cs="Times New Roman" w:eastAsia="Times New Roman" w:hAnsi="Times New Roman"/>
          <w:sz w:val="14"/>
          <w:szCs w:val="14"/>
          <w:color w:val="auto"/>
        </w:rPr>
      </w:pPr>
    </w:p>
    <w:p>
      <w:pPr>
        <w:ind w:left="360" w:hanging="356"/>
        <w:spacing w:after="0"/>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Documents is legal, valid, binding and enforceable in accordance with their respective governing laws in any and all respects;</w:t>
      </w:r>
    </w:p>
    <w:p>
      <w:pPr>
        <w:spacing w:after="0" w:line="7" w:lineRule="exact"/>
        <w:rPr>
          <w:rFonts w:ascii="Times New Roman" w:cs="Times New Roman" w:eastAsia="Times New Roman" w:hAnsi="Times New Roman"/>
          <w:sz w:val="14"/>
          <w:szCs w:val="14"/>
          <w:color w:val="auto"/>
        </w:rPr>
      </w:pPr>
    </w:p>
    <w:p>
      <w:pPr>
        <w:jc w:val="both"/>
        <w:ind w:left="360" w:hanging="356"/>
        <w:spacing w:after="0" w:line="250"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consents, licenses, permits, approvals, exemptions or authorizations required by, and all required registrations or filings with, any governmental authority or regulatory body of any jurisdiction other than the PRC in connection with the transactions contemplated under the Registration Statement and other Documents have been obtained or made, and are in full force and effect as of the date thereof;</w:t>
      </w:r>
    </w:p>
    <w:p>
      <w:pPr>
        <w:spacing w:after="0" w:line="1" w:lineRule="exact"/>
        <w:rPr>
          <w:rFonts w:ascii="Times New Roman" w:cs="Times New Roman" w:eastAsia="Times New Roman" w:hAnsi="Times New Roman"/>
          <w:sz w:val="14"/>
          <w:szCs w:val="14"/>
          <w:color w:val="auto"/>
        </w:rPr>
      </w:pPr>
    </w:p>
    <w:p>
      <w:pPr>
        <w:ind w:left="360" w:hanging="356"/>
        <w:spacing w:after="0" w:line="250"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explanations and interpretations provided by the officers of Governmental Agencies duly reflect the official position of the Governmental Agencies, and all the factual statements provided by the Company and PRC Companies, including but not limited to the statements set forth in the Documents, are complete, true and correct; and</w:t>
      </w:r>
    </w:p>
    <w:p>
      <w:pPr>
        <w:spacing w:after="0" w:line="1" w:lineRule="exact"/>
        <w:rPr>
          <w:rFonts w:ascii="Times New Roman" w:cs="Times New Roman" w:eastAsia="Times New Roman" w:hAnsi="Times New Roman"/>
          <w:sz w:val="14"/>
          <w:szCs w:val="14"/>
          <w:color w:val="auto"/>
        </w:rPr>
      </w:pPr>
    </w:p>
    <w:p>
      <w:pPr>
        <w:ind w:left="360" w:hanging="356"/>
        <w:spacing w:after="0" w:line="261"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Authorizations (as defined below) and other official statements and documentation obtained by the Company or any PRC Company from any Governmental Agency have been obtained by lawful means in due course, and the Documents provided to us conform with those documents submitted to Governmental Agencies for such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Definitions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the terms defined in the context of this opinion, the following capitalized terms used in this opinion shall have the meanings ascribed to them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w:t>
      </w:r>
      <w:r>
        <w:rPr>
          <w:rFonts w:ascii="Times New Roman" w:cs="Times New Roman" w:eastAsia="Times New Roman" w:hAnsi="Times New Roman"/>
          <w:sz w:val="14"/>
          <w:szCs w:val="14"/>
          <w:color w:val="auto"/>
        </w:rPr>
        <w:t>means any national, provincial or local governmental, regulatory or administrative authority, agency or commission in the PRC, or any court, tribunal or any other judicial or arbitral</w:t>
      </w:r>
    </w:p>
    <w:p>
      <w:pPr>
        <w:spacing w:after="0" w:line="22" w:lineRule="exact"/>
        <w:rPr>
          <w:sz w:val="20"/>
          <w:szCs w:val="20"/>
          <w:color w:val="auto"/>
        </w:rPr>
      </w:pPr>
    </w:p>
    <w:p>
      <w:pPr>
        <w:ind w:left="880" w:hanging="872"/>
        <w:spacing w:after="0" w:line="250" w:lineRule="auto"/>
        <w:tabs>
          <w:tab w:leader="none" w:pos="860" w:val="left"/>
        </w:tabs>
        <w:rPr>
          <w:sz w:val="20"/>
          <w:szCs w:val="20"/>
          <w:color w:val="auto"/>
        </w:rPr>
      </w:pPr>
      <w:r>
        <w:rPr>
          <w:rFonts w:ascii="Times New Roman" w:cs="Times New Roman" w:eastAsia="Times New Roman" w:hAnsi="Times New Roman"/>
          <w:sz w:val="14"/>
          <w:szCs w:val="14"/>
          <w:u w:val="single" w:color="auto"/>
          <w:color w:val="auto"/>
        </w:rPr>
        <w:t>Agency</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body in the PRC, or any body exercising, or entitled to exercise, any administrative, judicial, legislative, law enforcement, regulatory, or taxing authority or power of a similar nature in the PRC.</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w:t>
      </w:r>
      <w:r>
        <w:rPr>
          <w:rFonts w:ascii="Times New Roman" w:cs="Times New Roman" w:eastAsia="Times New Roman" w:hAnsi="Times New Roman"/>
          <w:sz w:val="14"/>
          <w:szCs w:val="14"/>
          <w:color w:val="auto"/>
        </w:rPr>
        <w:t xml:space="preserve">means any license, approval, consent, waiver, order, sanction, certificate, authorization, filing, declaration, disclosure, registration, exemption, permission, endorsement, annual </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inspection, clearance, qualification, permit or license by, from or with any Governmental Agency pursuant to any PRC Laws.</w:t>
      </w:r>
    </w:p>
    <w:p>
      <w:pPr>
        <w:spacing w:after="0" w:line="1" w:lineRule="exact"/>
        <w:rPr>
          <w:sz w:val="20"/>
          <w:szCs w:val="20"/>
          <w:color w:val="auto"/>
        </w:rPr>
      </w:pPr>
    </w:p>
    <w:p>
      <w:pPr>
        <w:ind w:right="1880"/>
        <w:spacing w:after="0" w:line="16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Hexun</w:t>
      </w:r>
      <w:r>
        <w:rPr>
          <w:rFonts w:ascii="Times New Roman" w:cs="Times New Roman" w:eastAsia="Times New Roman" w:hAnsi="Times New Roman"/>
          <w:sz w:val="14"/>
          <w:szCs w:val="14"/>
          <w:color w:val="auto"/>
        </w:rPr>
        <w:t xml:space="preserve"> means Shenzhen Hexun Huagu Information Technology Co., Ltd. (</w:t>
      </w:r>
      <w:r>
        <w:rPr>
          <w:rFonts w:ascii="SimSun" w:cs="SimSun" w:eastAsia="SimSun" w:hAnsi="SimSun"/>
          <w:sz w:val="14"/>
          <w:szCs w:val="14"/>
          <w:color w:val="auto"/>
        </w:rPr>
        <w:t>深圳市和讯华谷信息技术有限公司</w:t>
      </w:r>
      <w:r>
        <w:rPr>
          <w:rFonts w:ascii="Times New Roman" w:cs="Times New Roman" w:eastAsia="Times New Roman" w:hAnsi="Times New Roman"/>
          <w:sz w:val="14"/>
          <w:szCs w:val="14"/>
          <w:color w:val="auto"/>
        </w:rPr>
        <w:t xml:space="preserve">), a company incorporated under the PRC Laws. </w:t>
      </w:r>
      <w:r>
        <w:rPr>
          <w:rFonts w:ascii="Times New Roman" w:cs="Times New Roman" w:eastAsia="Times New Roman" w:hAnsi="Times New Roman"/>
          <w:sz w:val="14"/>
          <w:szCs w:val="14"/>
          <w:u w:val="single" w:color="auto"/>
          <w:color w:val="auto"/>
        </w:rPr>
        <w:t>Huagu</w:t>
      </w:r>
      <w:r>
        <w:rPr>
          <w:rFonts w:ascii="Times New Roman" w:cs="Times New Roman" w:eastAsia="Times New Roman" w:hAnsi="Times New Roman"/>
          <w:sz w:val="14"/>
          <w:szCs w:val="14"/>
          <w:color w:val="auto"/>
        </w:rPr>
        <w:t>”</w:t>
      </w:r>
    </w:p>
    <w:tbl>
      <w:tblPr>
        <w:tblLayout w:type="fixed"/>
        <w:tblInd w:w="0" w:type="dxa"/>
        <w:tblCellMar>
          <w:top w:w="0" w:type="dxa"/>
          <w:left w:w="0" w:type="dxa"/>
          <w:bottom w:w="0" w:type="dxa"/>
          <w:right w:w="0" w:type="dxa"/>
        </w:tblCellMar>
      </w:tblPr>
      <w:tr>
        <w:trPr>
          <w:trHeight w:val="138"/>
        </w:trPr>
        <w:tc>
          <w:tcPr>
            <w:tcW w:w="780" w:type="dxa"/>
            <w:vAlign w:val="bottom"/>
            <w:gridSpan w:val="4"/>
          </w:tcPr>
          <w:p>
            <w:pPr>
              <w:spacing w:after="0" w:line="138" w:lineRule="exact"/>
              <w:rPr>
                <w:sz w:val="20"/>
                <w:szCs w:val="20"/>
                <w:color w:val="auto"/>
              </w:rPr>
            </w:pPr>
            <w:r>
              <w:rPr>
                <w:rFonts w:ascii="Times New Roman" w:cs="Times New Roman" w:eastAsia="Times New Roman" w:hAnsi="Times New Roman"/>
                <w:sz w:val="14"/>
                <w:szCs w:val="14"/>
                <w:color w:val="auto"/>
              </w:rPr>
              <w:t>“PRC</w:t>
            </w:r>
          </w:p>
        </w:tc>
        <w:tc>
          <w:tcPr>
            <w:tcW w:w="4760" w:type="dxa"/>
            <w:vAlign w:val="bottom"/>
            <w:gridSpan w:val="3"/>
          </w:tcPr>
          <w:p>
            <w:pPr>
              <w:ind w:left="100"/>
              <w:spacing w:after="0" w:line="138" w:lineRule="exact"/>
              <w:rPr>
                <w:sz w:val="20"/>
                <w:szCs w:val="20"/>
                <w:color w:val="auto"/>
              </w:rPr>
            </w:pPr>
            <w:r>
              <w:rPr>
                <w:rFonts w:ascii="Times New Roman" w:cs="Times New Roman" w:eastAsia="Times New Roman" w:hAnsi="Times New Roman"/>
                <w:sz w:val="14"/>
                <w:szCs w:val="14"/>
                <w:color w:val="auto"/>
                <w:w w:val="99"/>
              </w:rPr>
              <w:t>means, Hexun Huagu and WFOE (as defined below), and each a “PRC Company”.</w:t>
            </w:r>
          </w:p>
        </w:tc>
      </w:tr>
      <w:tr>
        <w:trPr>
          <w:trHeight w:val="20"/>
        </w:trPr>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Companies”</w:t>
            </w:r>
          </w:p>
        </w:tc>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 w:lineRule="exact"/>
        <w:rPr>
          <w:sz w:val="20"/>
          <w:szCs w:val="20"/>
          <w:color w:val="auto"/>
        </w:rPr>
      </w:pPr>
    </w:p>
    <w:p>
      <w:pPr>
        <w:ind w:left="880" w:hanging="872"/>
        <w:spacing w:after="0" w:line="261" w:lineRule="auto"/>
        <w:tabs>
          <w:tab w:leader="none" w:pos="86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PRC Laws</w:t>
      </w:r>
      <w:r>
        <w:rPr>
          <w:rFonts w:ascii="Times New Roman" w:cs="Times New Roman" w:eastAsia="Times New Roman" w:hAnsi="Times New Roman"/>
          <w:sz w:val="14"/>
          <w:szCs w:val="14"/>
          <w:color w:val="auto"/>
        </w:rPr>
        <w:t>”</w:t>
        <w:tab/>
        <w:t>means all applicable national, provincial and local laws, regulations, rules, notices, orders, decrees and judicial interpretations of the PRC currently in effect and publicly available on the date of this opinion.</w:t>
      </w:r>
    </w:p>
    <w:p>
      <w:pPr>
        <w:spacing w:after="0" w:line="1" w:lineRule="exact"/>
        <w:rPr>
          <w:sz w:val="20"/>
          <w:szCs w:val="20"/>
          <w:color w:val="auto"/>
        </w:rPr>
      </w:pPr>
    </w:p>
    <w:p>
      <w:pPr>
        <w:spacing w:after="0" w:line="161" w:lineRule="exact"/>
        <w:tabs>
          <w:tab w:leader="none" w:pos="86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WFOE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means JPush Information Consultation (Shenzhen) Co., Ltd. (</w:t>
      </w:r>
      <w:r>
        <w:rPr>
          <w:rFonts w:ascii="SimSun" w:cs="SimSun" w:eastAsia="SimSun" w:hAnsi="SimSun"/>
          <w:sz w:val="13"/>
          <w:szCs w:val="13"/>
          <w:color w:val="auto"/>
        </w:rPr>
        <w:t>吉浦斯信息咨询</w:t>
      </w:r>
      <w:r>
        <w:rPr>
          <w:rFonts w:ascii="Times New Roman" w:cs="Times New Roman" w:eastAsia="Times New Roman" w:hAnsi="Times New Roman"/>
          <w:sz w:val="13"/>
          <w:szCs w:val="13"/>
          <w:color w:val="auto"/>
        </w:rPr>
        <w:t>(</w:t>
      </w:r>
      <w:r>
        <w:rPr>
          <w:rFonts w:ascii="SimSun" w:cs="SimSun" w:eastAsia="SimSun" w:hAnsi="SimSun"/>
          <w:sz w:val="13"/>
          <w:szCs w:val="13"/>
          <w:color w:val="auto"/>
        </w:rPr>
        <w:t>深圳</w:t>
      </w:r>
      <w:r>
        <w:rPr>
          <w:rFonts w:ascii="Times New Roman" w:cs="Times New Roman" w:eastAsia="Times New Roman" w:hAnsi="Times New Roman"/>
          <w:sz w:val="13"/>
          <w:szCs w:val="13"/>
          <w:color w:val="auto"/>
        </w:rPr>
        <w:t>)</w:t>
      </w:r>
      <w:r>
        <w:rPr>
          <w:rFonts w:ascii="SimSun" w:cs="SimSun" w:eastAsia="SimSun" w:hAnsi="SimSun"/>
          <w:sz w:val="13"/>
          <w:szCs w:val="13"/>
          <w:color w:val="auto"/>
        </w:rPr>
        <w:t>有限公司</w:t>
      </w:r>
      <w:r>
        <w:rPr>
          <w:rFonts w:ascii="Times New Roman" w:cs="Times New Roman" w:eastAsia="Times New Roman" w:hAnsi="Times New Roman"/>
          <w:sz w:val="13"/>
          <w:szCs w:val="13"/>
          <w:color w:val="auto"/>
        </w:rPr>
        <w:t>), a company incorporated under the PRC Laws.</w:t>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9" w:name="page70"/>
    <w:bookmarkEnd w:id="69"/>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6447155</wp:posOffset>
            </wp:positionH>
            <wp:positionV relativeFrom="page">
              <wp:posOffset>476250</wp:posOffset>
            </wp:positionV>
            <wp:extent cx="888365" cy="400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888365" cy="400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C. Opinions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our review of the Documents and subject to the Assumptions and the Qualifications, we are of the opinion that:</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Enforceability of Civil Procedures. </w:t>
      </w:r>
      <w:r>
        <w:rPr>
          <w:rFonts w:ascii="Times New Roman" w:cs="Times New Roman" w:eastAsia="Times New Roman" w:hAnsi="Times New Roman"/>
          <w:sz w:val="14"/>
          <w:szCs w:val="14"/>
          <w:color w:val="auto"/>
        </w:rPr>
        <w:t>The recognition and enforcement of foreign judgments are provided for under the PRC Civil Procedures Law. PRC courts may recognize and enforce foreign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a company or its directors and officers if they decide that the judgment violates the basic principles of PRC Laws or sovereignty, national security or public interest. As a result, it is uncertain whether and on what basis a PRC court would enforce a judgment rendered by a court in the United States or the Cayman Islands.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Qualifications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opinion expressed above is subject to the following qualifications (the “</w:t>
      </w:r>
      <w:r>
        <w:rPr>
          <w:rFonts w:ascii="Times New Roman" w:cs="Times New Roman" w:eastAsia="Times New Roman" w:hAnsi="Times New Roman"/>
          <w:sz w:val="14"/>
          <w:szCs w:val="14"/>
          <w:b w:val="1"/>
          <w:bCs w:val="1"/>
          <w:color w:val="auto"/>
        </w:rPr>
        <w:t>Qualifications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360" w:hanging="356"/>
        <w:spacing w:after="0" w:line="261"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is limited to PRC Laws of general application on the date hereof. We have made no investigation of, and do not express or imply any views on, the laws of any jurisdiction other than the PRC, and we have assumed that no such other laws would affect our opinions expressed above.</w:t>
      </w:r>
    </w:p>
    <w:p>
      <w:pPr>
        <w:spacing w:after="0" w:line="1" w:lineRule="exact"/>
        <w:rPr>
          <w:rFonts w:ascii="Times New Roman" w:cs="Times New Roman" w:eastAsia="Times New Roman" w:hAnsi="Times New Roman"/>
          <w:sz w:val="14"/>
          <w:szCs w:val="14"/>
          <w:color w:val="auto"/>
        </w:rPr>
      </w:pPr>
    </w:p>
    <w:p>
      <w:pPr>
        <w:ind w:left="360" w:hanging="356"/>
        <w:spacing w:after="0" w:line="261"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Laws referred to herein are laws and regulations publicly available and currently in force on the date hereof and there is no guarantee that any of the PRC Laws and regulations referred to herein, or the interpretation or enforcement thereof, will not be changed, amended or revoked in the future with or without retrospective effect.</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0" w:name="page71"/>
    <w:bookmarkEnd w:id="70"/>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6440170</wp:posOffset>
            </wp:positionH>
            <wp:positionV relativeFrom="page">
              <wp:posOffset>489585</wp:posOffset>
            </wp:positionV>
            <wp:extent cx="888365" cy="400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888365" cy="400685"/>
                    </a:xfrm>
                    <a:prstGeom prst="rect">
                      <a:avLst/>
                    </a:prstGeom>
                    <a:noFill/>
                  </pic:spPr>
                </pic:pic>
              </a:graphicData>
            </a:graphic>
          </wp:anchor>
        </w:drawing>
      </w:r>
    </w:p>
    <w:p>
      <w:pPr>
        <w:ind w:left="360" w:hanging="356"/>
        <w:spacing w:after="0" w:line="261"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is subject to (a) applicable bankruptcy, insolvency, fraudulent transfer, reorganization, moratorium or similar laws in the PRC affecting creditors’ rights generally, and (b) possible judicial or administrative actions or any PRC Laws affecting creditors’ rights.</w:t>
      </w:r>
    </w:p>
    <w:p>
      <w:pPr>
        <w:spacing w:after="0" w:line="1" w:lineRule="exact"/>
        <w:rPr>
          <w:rFonts w:ascii="Times New Roman" w:cs="Times New Roman" w:eastAsia="Times New Roman" w:hAnsi="Times New Roman"/>
          <w:sz w:val="14"/>
          <w:szCs w:val="14"/>
          <w:color w:val="auto"/>
        </w:rPr>
      </w:pPr>
    </w:p>
    <w:p>
      <w:pPr>
        <w:jc w:val="both"/>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opinion is subject to the effects of (a) certain legal or statutory principles affecting the enforceability of contractual rights generally under the concepts of public interests, social ethics, national security, good faith, fair dealing, and applicable statutes of limitation; (b) any circumstance in connection with the formulation, execution or performance of any legal documents that would be deemed materially mistaken, clearly unconscionable, fraudulent, coercionary or concealing illegal intentions with a lawful form; (c) judicial discretion with respect to the availability of specific performance, injunctive relief, remedies or defenses, or the calculation of damages; and (d) the discretion of any competent PRC legislative, administrative or judicial bodies in exercising their authority in the PRC.</w:t>
      </w:r>
    </w:p>
    <w:p>
      <w:pPr>
        <w:spacing w:after="0" w:line="3" w:lineRule="exact"/>
        <w:rPr>
          <w:rFonts w:ascii="Times New Roman" w:cs="Times New Roman" w:eastAsia="Times New Roman" w:hAnsi="Times New Roman"/>
          <w:sz w:val="14"/>
          <w:szCs w:val="14"/>
          <w:color w:val="auto"/>
        </w:rPr>
      </w:pPr>
    </w:p>
    <w:p>
      <w:pPr>
        <w:jc w:val="both"/>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Under PRC Laws, foreign investment is restricted in certain industries. The interpretation and implementation of these laws and regulations, and their application to and effect on the legality, binding effect and enforceability of contracts such as the VIE Agreements and transactions contemplated by the VIE Agreements, are subject to the discretion of the competent Governmental Agency.</w:t>
      </w:r>
    </w:p>
    <w:p>
      <w:pPr>
        <w:spacing w:after="0" w:line="3" w:lineRule="exact"/>
        <w:rPr>
          <w:rFonts w:ascii="Times New Roman" w:cs="Times New Roman" w:eastAsia="Times New Roman" w:hAnsi="Times New Roman"/>
          <w:sz w:val="14"/>
          <w:szCs w:val="14"/>
          <w:color w:val="auto"/>
        </w:rPr>
      </w:pPr>
    </w:p>
    <w:p>
      <w:pPr>
        <w:jc w:val="both"/>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“enforceable” or “enforceability” as used in this opinion means that the obligations assumed by the relevant obligors under the relevant Documents are of a type which the courts of the PRC may enforce. It does not mean that those obligations will necessarily be enforced in all circumstances in accordance with their respective terms and/or additional terms that may be imposed by the courts. As used in this opinion, the expression “to the best of our knowledge after due inquiry” or similar language with reference to matters of fact refers to the current, actual knowledge of the attorneys of this firm who have worked on matters for the Company and the PRC Companies in connection with the Offering and the transactions contemplated thereby.</w:t>
      </w:r>
    </w:p>
    <w:p>
      <w:pPr>
        <w:spacing w:after="0" w:line="2" w:lineRule="exact"/>
        <w:rPr>
          <w:rFonts w:ascii="Times New Roman" w:cs="Times New Roman" w:eastAsia="Times New Roman" w:hAnsi="Times New Roman"/>
          <w:sz w:val="14"/>
          <w:szCs w:val="14"/>
          <w:color w:val="auto"/>
        </w:rPr>
      </w:pPr>
    </w:p>
    <w:p>
      <w:pPr>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rely, as to matters of fact (but not as to legal conclusions), to the extent we deem proper, on representations made by officers and employees of the Company, the PRC Companies and Governmental Agencies.</w:t>
      </w:r>
    </w:p>
    <w:p>
      <w:pPr>
        <w:spacing w:after="0" w:line="1" w:lineRule="exact"/>
        <w:rPr>
          <w:rFonts w:ascii="Times New Roman" w:cs="Times New Roman" w:eastAsia="Times New Roman" w:hAnsi="Times New Roman"/>
          <w:sz w:val="14"/>
          <w:szCs w:val="14"/>
          <w:color w:val="auto"/>
        </w:rPr>
      </w:pPr>
    </w:p>
    <w:p>
      <w:pPr>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undertaken any independent investigation, search or other verification action to determine the existence or absence of any fact or to render this opinion, and no inference as to our knowledge of the existence or absence of any fact should be drawn from our representation of the Company or the PRC Companies or the rendering of this opinion.</w:t>
      </w:r>
    </w:p>
    <w:p>
      <w:pPr>
        <w:spacing w:after="0" w:line="1" w:lineRule="exact"/>
        <w:rPr>
          <w:rFonts w:ascii="Times New Roman" w:cs="Times New Roman" w:eastAsia="Times New Roman" w:hAnsi="Times New Roman"/>
          <w:sz w:val="14"/>
          <w:szCs w:val="14"/>
          <w:color w:val="auto"/>
        </w:rPr>
      </w:pPr>
    </w:p>
    <w:p>
      <w:pPr>
        <w:ind w:left="360" w:hanging="356"/>
        <w:spacing w:after="0" w:line="250"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intended to be used in the context which is specifically referred to herein; each paragraph shall be construed as a whole and no part shall be extracted and referred to independently.</w:t>
      </w:r>
    </w:p>
    <w:p>
      <w:pPr>
        <w:spacing w:after="0" w:line="1" w:lineRule="exact"/>
        <w:rPr>
          <w:rFonts w:ascii="Times New Roman" w:cs="Times New Roman" w:eastAsia="Times New Roman" w:hAnsi="Times New Roman"/>
          <w:sz w:val="14"/>
          <w:szCs w:val="14"/>
          <w:color w:val="auto"/>
        </w:rPr>
      </w:pPr>
    </w:p>
    <w:p>
      <w:pPr>
        <w:jc w:val="both"/>
        <w:ind w:left="360" w:hanging="356"/>
        <w:spacing w:after="0" w:line="256" w:lineRule="auto"/>
        <w:tabs>
          <w:tab w:leader="none" w:pos="3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strictly limited to the matters stated herein and no opinion is implied or may be inferred beyond the matters expressly stated herein. The opinion expressed herein is rendered only as of the date hereof, and we assume no responsibility to advise you of facts, circumstances, events or developments that hereafter may be brought to our attention and that may alter, affect or modify the opinion expressed herein.</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1" w:name="page72"/>
    <w:bookmarkEnd w:id="71"/>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6466840</wp:posOffset>
            </wp:positionH>
            <wp:positionV relativeFrom="page">
              <wp:posOffset>476250</wp:posOffset>
            </wp:positionV>
            <wp:extent cx="888365" cy="400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888365" cy="400685"/>
                    </a:xfrm>
                    <a:prstGeom prst="rect">
                      <a:avLst/>
                    </a:prstGeom>
                    <a:noFill/>
                  </pic:spPr>
                </pic:pic>
              </a:graphicData>
            </a:graphic>
          </wp:anchor>
        </w:drawing>
      </w:r>
    </w:p>
    <w:p>
      <w:pPr>
        <w:jc w:val="both"/>
        <w:spacing w:after="0" w:line="283" w:lineRule="auto"/>
        <w:rPr>
          <w:sz w:val="20"/>
          <w:szCs w:val="20"/>
          <w:color w:val="auto"/>
        </w:rPr>
      </w:pPr>
      <w:r>
        <w:rPr>
          <w:rFonts w:ascii="Times New Roman" w:cs="Times New Roman" w:eastAsia="Times New Roman" w:hAnsi="Times New Roman"/>
          <w:sz w:val="14"/>
          <w:szCs w:val="14"/>
          <w:color w:val="auto"/>
        </w:rPr>
        <w:t>This opinion is delivered solely for the purpose of and in connection with the Registration Statement publicly filed with the U.S. Securities and Exchange Commission on the date of this opinion and should not be used for any other purpose without our prior written consent.</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hereby consent to the use of this opinion in, and the filing hereof as an exhibit to, the Registration Statement, and to the use of our firm’s name under the captions “Our Company”, “Risk Factors”, “Enforceability of Civil Liabilities” and “Legal Matters” in the Registration Statement. In giving such consent, we do not thereby admit that we come within the category of persons whose consent is required under Section 7 of the U.S. Securities Act of 1933, as amended, or the regulations promulgated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HAN KUN LAW OFFICES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5814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581400" cy="6985"/>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F-3) and related Prospectus of Aurora Mobile Limited for the registration of its Class A common shares, and to the incorporation by reference therein of our report dated March 27, 2026, with respect to the consolidated financial statements of Aurora Mobile Limited included in its Annual Report (Form 20-F) for the year ended December 31, 2025, filed with the Securities and Exchange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Hua Ming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Shenzhen, the People’s Republic of China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1628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73" w:name="page74"/>
    <w:bookmarkEnd w:id="73"/>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Aurora Mobile Ltd</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2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00" w:type="dxa"/>
            <w:vAlign w:val="bottom"/>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jc w:val="center"/>
              <w:ind w:right="17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9,666,666</w:t>
            </w:r>
          </w:p>
        </w:tc>
        <w:tc>
          <w:tcPr>
            <w:tcW w:w="20" w:type="dxa"/>
            <w:vAlign w:val="bottom"/>
          </w:tcPr>
          <w:p>
            <w:pPr>
              <w:spacing w:after="0"/>
              <w:rPr>
                <w:sz w:val="16"/>
                <w:szCs w:val="16"/>
                <w:color w:val="auto"/>
              </w:rPr>
            </w:pPr>
          </w:p>
        </w:tc>
        <w:tc>
          <w:tcPr>
            <w:tcW w:w="8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$ 692.35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US$0.0001</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0.518625</w:t>
            </w: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5,013,374.65</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(Secondary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jc w:val="center"/>
              <w:ind w:right="19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$ 692.35</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5,013,374.65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$ 692.35</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60"/>
        <w:spacing w:after="0" w:line="265" w:lineRule="auto"/>
        <w:rPr>
          <w:sz w:val="20"/>
          <w:szCs w:val="20"/>
          <w:color w:val="auto"/>
        </w:rPr>
      </w:pPr>
      <w:r>
        <w:rPr>
          <w:rFonts w:ascii="Arial" w:cs="Arial" w:eastAsia="Arial" w:hAnsi="Arial"/>
          <w:sz w:val="17"/>
          <w:szCs w:val="17"/>
          <w:color w:val="auto"/>
        </w:rPr>
        <w:t>Note 1.a. These Class A common shares offered will be represented by American Depositary Shares ("ADSs"). Three ADSs represent forty Class A common shares of Aurora Mobile Limited (the "Registrant")</w:t>
      </w:r>
    </w:p>
    <w:p>
      <w:pPr>
        <w:spacing w:after="0" w:line="137" w:lineRule="exact"/>
        <w:rPr>
          <w:sz w:val="20"/>
          <w:szCs w:val="20"/>
          <w:color w:val="auto"/>
        </w:rPr>
      </w:pPr>
    </w:p>
    <w:p>
      <w:pPr>
        <w:ind w:left="220" w:right="460"/>
        <w:spacing w:after="0" w:line="249" w:lineRule="auto"/>
        <w:rPr>
          <w:sz w:val="20"/>
          <w:szCs w:val="20"/>
          <w:color w:val="auto"/>
        </w:rPr>
      </w:pPr>
      <w:r>
        <w:rPr>
          <w:rFonts w:ascii="Arial" w:cs="Arial" w:eastAsia="Arial" w:hAnsi="Arial"/>
          <w:sz w:val="17"/>
          <w:szCs w:val="17"/>
          <w:color w:val="auto"/>
        </w:rPr>
        <w:t>Note 1.b In addition, pursuant to Rule 416 under the Securities Act, the Class A common shares being registered hereunder include such indeterminate number of Class A common shares as may be issuable with respect to the shares being registered hereunder as a result of share subdivision or consolidation, share dividends, or similar transactions.</w:t>
      </w:r>
    </w:p>
    <w:p>
      <w:pPr>
        <w:spacing w:after="0" w:line="149"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Note 1.c. Up to 9,666,666 Class A common shares of the Registrant, represented by up to 725,000 ADSs, issuable upon the exercise of warrant, or the Warrant, by the selling securityholder identified in this prospectus, are to be offered for resale by the selling shareholder named in the prospectus contained in this registration statement. The Registrant will not receive any proceeds from the sale of the ADSs by the selling shareholder.</w:t>
      </w:r>
    </w:p>
    <w:p>
      <w:pPr>
        <w:spacing w:after="0" w:line="155" w:lineRule="exact"/>
        <w:rPr>
          <w:sz w:val="20"/>
          <w:szCs w:val="20"/>
          <w:color w:val="auto"/>
        </w:rPr>
      </w:pPr>
    </w:p>
    <w:p>
      <w:pPr>
        <w:ind w:left="220" w:right="280"/>
        <w:spacing w:after="0" w:line="243" w:lineRule="auto"/>
        <w:rPr>
          <w:sz w:val="20"/>
          <w:szCs w:val="20"/>
          <w:color w:val="auto"/>
        </w:rPr>
      </w:pPr>
      <w:r>
        <w:rPr>
          <w:rFonts w:ascii="Arial" w:cs="Arial" w:eastAsia="Arial" w:hAnsi="Arial"/>
          <w:sz w:val="17"/>
          <w:szCs w:val="17"/>
          <w:color w:val="auto"/>
        </w:rPr>
        <w:t>Note 1.d. Pursuant to Rule 457(c) under the Securities Act, and solely for the purpose of calculating the registration fee, the proposed maximum offering price per share of the Class A common shares issuable upon the exercise of Warrant is based upon US$6.915 per ADS (or US$0.518625 per Class A common share), which is the average of the high and low prices of the ADSs as of March 23,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179705</wp:posOffset>
            </wp:positionV>
            <wp:extent cx="714819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-998220</wp:posOffset>
            </wp:positionV>
            <wp:extent cx="7168515" cy="2384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68515" cy="238442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360"/>
          </w:cols>
          <w:pgMar w:left="300" w:top="142" w:right="239" w:bottom="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2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Roman"/>
      <w:start w:val="3"/>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lowerRoman"/>
      <w:start w:val="1"/>
    </w:lvl>
  </w:abstractNum>
  <w:abstractNum w:abstractNumId="11">
    <w:nsid w:val="419AC241"/>
    <w:multiLevelType w:val="hybridMultilevel"/>
    <w:lvl w:ilvl="0">
      <w:lvlJc w:val="left"/>
      <w:lvlText w:val="(%1)"/>
      <w:numFmt w:val="lowerRoman"/>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lvl w:ilvl="1">
      <w:lvlJc w:val="left"/>
      <w:lvlText w:val="(%2)"/>
      <w:numFmt w:val="lowerRoman"/>
      <w:start w:val="1"/>
    </w:lvl>
  </w:abstractNum>
  <w:abstractNum w:abstractNumId="23">
    <w:nsid w:val="580BD78F"/>
    <w:multiLevelType w:val="hybridMultilevel"/>
    <w:lvl w:ilvl="0">
      <w:lvlJc w:val="left"/>
      <w:lvlText w:val="•"/>
      <w:numFmt w:val="bullet"/>
      <w:start w:val="1"/>
    </w:lvl>
    <w:lvl w:ilvl="1">
      <w:lvlJc w:val="left"/>
      <w:lvlText w:val="(%2)"/>
      <w:numFmt w:val="lowerRoman"/>
      <w:start w:val="3"/>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38437FDB"/>
    <w:multiLevelType w:val="hybridMultilevel"/>
    <w:lvl w:ilvl="0">
      <w:lvlJc w:val="left"/>
      <w:lvlText w:val="(%1)"/>
      <w:numFmt w:val="decimal"/>
      <w:start w:val="2"/>
    </w:lvl>
  </w:abstractNum>
  <w:abstractNum w:abstractNumId="38">
    <w:nsid w:val="7644A45C"/>
    <w:multiLevelType w:val="hybridMultilevel"/>
    <w:lvl w:ilvl="0">
      <w:lvlJc w:val="left"/>
      <w:lvlText w:val="%1"/>
      <w:numFmt w:val="decimal"/>
      <w:start w:val="1"/>
    </w:lvl>
    <w:lvl w:ilvl="1">
      <w:lvlJc w:val="left"/>
      <w:lvlText w:val="(%2)"/>
      <w:numFmt w:val="lowerRoman"/>
      <w:start w:val="1"/>
    </w:lvl>
  </w:abstractNum>
  <w:abstractNum w:abstractNumId="39">
    <w:nsid w:val="32FFF902"/>
    <w:multiLevelType w:val="hybridMultilevel"/>
    <w:lvl w:ilvl="0">
      <w:lvlJc w:val="left"/>
      <w:lvlText w:val="(%1)"/>
      <w:numFmt w:val="decimal"/>
      <w:start w:val="6"/>
    </w:lvl>
    <w:lvl w:ilvl="1">
      <w:lvlJc w:val="left"/>
      <w:lvlText w:val="(%2)"/>
      <w:numFmt w:val="lowerRoman"/>
      <w:start w:val="1"/>
    </w:lvl>
  </w:abstractNum>
  <w:abstractNum w:abstractNumId="40">
    <w:nsid w:val="684A481A"/>
    <w:multiLevelType w:val="hybridMultilevel"/>
    <w:lvl w:ilvl="0">
      <w:lvlJc w:val="left"/>
      <w:lvlText w:val="%1"/>
      <w:numFmt w:val="lowerLetter"/>
      <w:start w:val="1"/>
    </w:lvl>
    <w:lvl w:ilvl="1">
      <w:lvlJc w:val="left"/>
      <w:lvlText w:val="(%2)"/>
      <w:numFmt w:val="lowerRoman"/>
      <w:start w:val="2"/>
    </w:lvl>
  </w:abstractNum>
  <w:abstractNum w:abstractNumId="41">
    <w:nsid w:val="579478FE"/>
    <w:multiLevelType w:val="hybridMultilevel"/>
    <w:lvl w:ilvl="0">
      <w:lvlJc w:val="left"/>
      <w:lvlText w:val="(%1)"/>
      <w:numFmt w:val="lowerLetter"/>
      <w:start w:val="2"/>
    </w:lvl>
    <w:lvl w:ilvl="1">
      <w:lvlJc w:val="left"/>
      <w:lvlText w:val="%2"/>
      <w:numFmt w:val="lowerRoman"/>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bullet"/>
      <w:start w:val="1"/>
    </w:lvl>
  </w:abstractNum>
  <w:abstractNum w:abstractNumId="46">
    <w:nsid w:val="75C6C33A"/>
    <w:multiLevelType w:val="hybridMultilevel"/>
    <w:lvl w:ilvl="0">
      <w:lvlJc w:val="left"/>
      <w:lvlText w:val="2"/>
      <w:numFmt w:val="bullet"/>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3"/>
      <w:numFmt w:val="bullet"/>
      <w:start w:val="1"/>
    </w:lvl>
  </w:abstractNum>
  <w:abstractNum w:abstractNumId="49">
    <w:nsid w:val="520EEDD1"/>
    <w:multiLevelType w:val="hybridMultilevel"/>
    <w:lvl w:ilvl="0">
      <w:lvlJc w:val="left"/>
      <w:lvlText w:val="4"/>
      <w:numFmt w:val="bullet"/>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7"/>
    </w:lvl>
  </w:abstractNum>
  <w:abstractNum w:abstractNumId="52">
    <w:nsid w:val="23F9C13C"/>
    <w:multiLevelType w:val="hybridMultilevel"/>
    <w:lvl w:ilvl="0">
      <w:lvlJc w:val="left"/>
      <w:lvlText w:val="%1."/>
      <w:numFmt w:val="upperLetter"/>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2"/>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jpe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jpe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jpeg"/><Relationship Id="rId143" Type="http://schemas.openxmlformats.org/officeDocument/2006/relationships/image" Target="media/image129.jpeg"/><Relationship Id="rId144" Type="http://schemas.openxmlformats.org/officeDocument/2006/relationships/image" Target="media/image130.png"/><Relationship Id="rId145" Type="http://schemas.openxmlformats.org/officeDocument/2006/relationships/image" Target="media/image131.jpeg"/><Relationship Id="rId146" Type="http://schemas.openxmlformats.org/officeDocument/2006/relationships/image" Target="media/image132.png"/><Relationship Id="rId147" Type="http://schemas.openxmlformats.org/officeDocument/2006/relationships/image" Target="media/image133.jpeg"/><Relationship Id="rId148" Type="http://schemas.openxmlformats.org/officeDocument/2006/relationships/image" Target="media/image134.png"/><Relationship Id="rId149" Type="http://schemas.openxmlformats.org/officeDocument/2006/relationships/image" Target="media/image135.jpeg"/><Relationship Id="rId150" Type="http://schemas.openxmlformats.org/officeDocument/2006/relationships/image" Target="media/image136.png"/><Relationship Id="rId151" Type="http://schemas.openxmlformats.org/officeDocument/2006/relationships/image" Target="media/image137.jpe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04" Type="http://schemas.openxmlformats.org/officeDocument/2006/relationships/hyperlink" Target="https://www.sec.gov/ix?doc=/Archives/edgar/data/1737339/000110465926035657/jg-20251231x20f.htm" TargetMode="External"/><Relationship Id="rId105" Type="http://schemas.openxmlformats.org/officeDocument/2006/relationships/hyperlink" Target="https://www.sec.gov/Archives/edgar/data/1737339/000110465926013043/tm265783d1_6k.htm" TargetMode="External"/><Relationship Id="rId106" Type="http://schemas.openxmlformats.org/officeDocument/2006/relationships/hyperlink" Target="https://www.sec.gov/Archives/edgar/data/1737339/000119312518217878/d352582d8a12b.htm" TargetMode="External"/><Relationship Id="rId117" Type="http://schemas.openxmlformats.org/officeDocument/2006/relationships/hyperlink" Target="https://www.sec.gov/Archives/edgar/data/1737339/000119312518209561/d567445dex32.htm" TargetMode="External"/><Relationship Id="rId118" Type="http://schemas.openxmlformats.org/officeDocument/2006/relationships/hyperlink" Target="https://www.sec.gov/Archives/edgar/data/1737339/000119312518217954/d567445dex42.htm" TargetMode="External"/><Relationship Id="rId119" Type="http://schemas.openxmlformats.org/officeDocument/2006/relationships/hyperlink" Target="https://www.sec.gov/Archives/edgar/data/1737339/000119312518350430/d668146dex43.htm" TargetMode="External"/><Relationship Id="rId120" Type="http://schemas.openxmlformats.org/officeDocument/2006/relationships/hyperlink" Target="https://www.sec.gov/Archives/edgar/data/1737339/000110465926013043/tm265783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2026-03-27T06:47:32Z</dcterms:created>
  <dcterms:modified xsi:type="dcterms:W3CDTF">2026-03-27T06:47:32Z</dcterms:modified>
</cp:coreProperties>
</file>