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16 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32"/>
          <w:szCs w:val="32"/>
          <w:b w:val="1"/>
          <w:bCs w:val="1"/>
          <w:color w:val="auto"/>
        </w:rPr>
        <w:t>Aurora Mobile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31/F, Block 12-A, Shenzhen Bay Science and Technology Ecological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Nanshan District, Shenzhen, Guangdong 518057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6-K, including the exhibit hereto, is incorporated by reference into the registration statement on Form F-3 (File No. 333-290371) and the registration statement on Form F-3 (File No. 333-294664) of the Company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EE"/>
              </w:rPr>
              <w:t>Aurora Mobile Limited Announces First Quarter 2026 Unaudited Financial Results</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24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Shan-Nen Bong</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Shan-Nen Bong</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 Announces First Quarter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Results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SHENZHEN, CHINA, May 26, 2026 – Aurora Mobile Limited (“Aurora Mobile” or the “Company”) (NASDAQ: JG), a leading provider of customer engagement and marketing technology services,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First Quarter 2026 Financial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RMB93.3 million (US$13.5 million), an increase of 5% year-over-year.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RMB27.0 million (US$3.9 million), a decrease of 10% year-over-year.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RMB66.3 million (US$9.6 million), an increase of 13% year-over-year.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RMB66.1 million (US$9.6 million), an increase of 9% year-over-year.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RMB1.2 million (US$0.2 million), compared with a net loss of RMB1.6 million in the same quarter last year.</w:t>
      </w:r>
    </w:p>
    <w:p>
      <w:pPr>
        <w:spacing w:after="0" w:line="224"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attributable to Aurora Mobile Limited’s shareholders </w:t>
      </w:r>
      <w:r>
        <w:rPr>
          <w:rFonts w:ascii="Times New Roman" w:cs="Times New Roman" w:eastAsia="Times New Roman" w:hAnsi="Times New Roman"/>
          <w:sz w:val="18"/>
          <w:szCs w:val="18"/>
          <w:color w:val="auto"/>
        </w:rPr>
        <w:t>was RMB1.0 million (US$0.1 million), compared with a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Aurora Mobile Limited’s shareholders of RMB2.6 million in the same quarter last year.</w:t>
      </w:r>
    </w:p>
    <w:p>
      <w:pPr>
        <w:spacing w:after="0" w:line="155" w:lineRule="exact"/>
        <w:rPr>
          <w:rFonts w:ascii="Arial" w:cs="Arial" w:eastAsia="Arial" w:hAnsi="Arial"/>
          <w:sz w:val="18"/>
          <w:szCs w:val="18"/>
          <w:b w:val="1"/>
          <w:bCs w:val="1"/>
          <w:color w:val="auto"/>
        </w:rPr>
      </w:pPr>
    </w:p>
    <w:p>
      <w:pPr>
        <w:ind w:left="660" w:right="2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RMB1.6 million (US$0.2 million), compared with a RMB1.2 million adjusted net loss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last year.</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was RMB2.9 million (US$0.4 million), compared with RMB0.5 million in the same quarter last year.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Weidong Luo, Chairman and Chief Executive Officer of Aurora Mobile, commented, “We had a great start to financial year 2026. In Q1 of 2026, we: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Achieved another GAAP net profit quarter, marking our fourth consecutive profitable quarter;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Delivered 5% year-over-year revenue growth;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Grew Core Developer Subscription Service revenue to a record high of RMB64.9 million;</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Increased EngageLab’s Annual Recurring Revenue (“ARR”) for March 2026 to US$11.7 million, representing a stunning 172% year-over-year growth;</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Achieved year-over-year growth in gross profit and gross margin;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Posted Net Dollar Retention Rate for our core Developer Subscription business, a key SAAS performance indicator, of 103%.”</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Shan-Nen Bong, Chief Financial Officer of Aurora Mobile, added, “Q1 was a tough quarter, but we remained resilient and managed to navigate through these rough waters. Our Q1’2026 results speak for themselves: we delivered revenue growth, and our EngageLab business continues to scale new highs. This momentum provides a solid foundation for the rest of 2026. We remain committed to expanding the business on a global level, while maintaining strong spending discipline. We believe this combination is the right strategy to move the business forward.”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RMB93.3 million (US$13.5 million), an increase of 5% from RMB89.0 million in the same quarter of last year, attributable to a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revenue from Developer Services and partially offset by a 19% decrease in revenue from Vertical Applications.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RMB27.0 million (US$3.9 million), a decrease of 10% from RMB30.1 million in the same quarter of last year.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due to a RMB2.1 million decrease in media cost and a RMB3.0 million decrease in other direct costs. The impact is partially offset by a RMB1.1 million increase in cloud cost and a RMB1.0 million increase in message channel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RMB66.3 million (US$9.6 million), an increase of 13% from RMB58.8 million in the same quarter of last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RMB66.1 million (US$9.6 million), an increase of 9% from RMB60.6 million in the same quarter of last year.</w:t>
      </w:r>
    </w:p>
    <w:p>
      <w:pPr>
        <w:spacing w:after="0" w:line="225" w:lineRule="exact"/>
        <w:rPr>
          <w:sz w:val="20"/>
          <w:szCs w:val="20"/>
          <w:color w:val="auto"/>
        </w:rPr>
      </w:pPr>
    </w:p>
    <w:p>
      <w:pPr>
        <w:ind w:left="660" w:right="2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RMB28.7 million (US$4.2 million), an increase of 17% from RMB24.6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year, mainly due to a RMB1.4 million increase in personnel costs and a RMB2.2 million increase in technical service expense.</w:t>
      </w:r>
    </w:p>
    <w:p>
      <w:pPr>
        <w:spacing w:after="0" w:line="15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RMB25.9 million (US$3.8 million), an increase of 11% from RMB23.3 million in the same quarter of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mainly due to a RMB2.4 million increase in personnel costs and travelling expenses.</w:t>
      </w:r>
    </w:p>
    <w:p>
      <w:pPr>
        <w:spacing w:after="0" w:line="15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RMB11.5 million (US$1.7 million), a decrease of 9% from RMB12.7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year, mainly due to a RMB1.8 million decrease in bad debt provision.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RMB0.5 million (US$68 thousand), compared with a loss from operations of RMB1.5 million in the same quarter of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RMB1.2 million (US$0.2 million), compared with a net loss of RMB1.6 million in the same quarter of last year.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RMB1.6 million (US$0.2 million), compared with a RMB1.2 million adjusted net loss in the same quarter of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was RMB2.9 million (US$0.4 million), compared with RMB0.5 million for the same quarter of last year.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cash and cash equivalents, restricted cash and short-term investment were RMB142.2 million (US$20.6 million) as of March 31, 2026, compared with RMB173.4 million as of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repurchased a total of 441,365 ADSs, of which 41,683 ADSs, or around US$316.1 thousand were repurchased during the first quarter in 2026. ADS refers to American Depositary Shares, each 3 ADS representing 40 Class A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an earnings conference call on Tuesday, May 26, 2026 at 7:30 a.m. U.S. Eastern Time (7:30 p.m. Beijing time on the same day).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participants must register in advance to join the conference using the link provided below. Please dial in 15 minutes before the call is scheduled to begin. Conference access information will be provided upon registration.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https://register-conf.media-server.com/register/BI1e348d0587ca40d88837f3c15b435b90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be available on the Investor Relations section of Aurora Mobile’s website at https://ir.aurora-mobile.com/.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business, the Company considers and uses two non-GAAP measures, adjusted net (loss)/income and adjusted EBITDA, as a supplemental measure to review and assess its operating performance. The presentation of these non-GAAP financial measures is not intended to be considered in isolation or as a substitute for the financial information prepared and presented in accordance with U.S. GAAP. The Company defines adjusted net (loss)/income as net (loss)/income excluding share-based compensation. The Company defines adjusted EBITDA as net (loss)/income excluding interest expense, depreciation of property and equipment, amortization of intangible assets, income tax expenses/(benefits) and share-based compensation.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adjusted net (loss)/income and adjusted EBITDA help identify underlying trends in its business that could otherwise be distorted by the effect of certain expenses that it includes in loss from operations and net (loss)/income.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adjusted net (loss)/income and adjusted EBITDA provide useful information about its operating results, enhance the overall understanding of its past performance and future prospects and allow for greater visibility with respect to key metrics used by the management in their financial and operational decision-making.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One of the key limitations of using adjusted net (loss)/income and adjusted EBITDA is that they do not reflect all items of income and expense that affect the Company’s operations. Further, the non-GAAP financial measures may differ from the non-GAAP information used by other companies, including peer companies, and therefore their comparability may be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compensates for these limitations by reconciling the non-GAAP financial measures to the nearest U.S. GAAP performance measure, all of which should be considered when evaluating the Company’s performance. The Company encourages you to review its financial information in its entirety and not rely on a single financial measure.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non-GAAP financial measures to the most comparable U.S. GAAP measure are included at the end of this press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Net Dollar Retention Rate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Dollar Retention Rate is calculated for a trailing 12-month period by first identifying all Developer Subscription customers (excluding private cloud business) in the prior 12-month period, and then calculating the quotient from dividing the revenue generated from such customers in the trailing 12-month period by the revenue generated from the same group of customers in the prior 12-month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Recurring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Annual Recurring Revenue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relevant month.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Business Outlook and quotations from management in this announcement, as well as Aurora Mobile’s strategic and operational plans, contain forward-looking statements. Aurora Mobile may also make written or oral forward-looking statements in its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Aurora Mobile’s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Aurora Mobile’s strategies; Aurora Mobile’s future business development, financial condition and results of operations; Aurora Mobile’s ability to attract and retain customers; its ability to develop and effectively market data solutions, and penetrate the existing market for developer services; its ability to transition to the new advertising-driven SAAS business model; its ability to maintain or enhance its brand; the competition with current or future competitors; its ability to continue to gain access to mobile data in the future; the laws and regulations relating to data privacy and protection;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Aurora Mobile undertakes no duty to update such information,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Aurora Mobile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2011, Aurora Mobile (NASDAQ: JG) is a leading provider of customer engagement and marketing technology services. The Company is dedicated to empowering global enterprises with stable, efficient, and intelligent customer interaction solutions. Leveraging its first-mover advantage in mobile messaging, Aurora Mobile has evolved into a comprehensive platform that integrates Omnichannel Engagement, AI-Driven Marketing, Advanced AI Customer Support, and Frictionless Identity Security. Through its flagship brand EngageLab and its robust AI infrastructure GPTBots.ai, the Company helps businesses achieve seamless customer reach, automate complex marketing journeys, and optimize service efficiency with AI agents, accelerating digital transformation for clients worldwide.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https://ir.aurora-mobile.com/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ir@aurora-mobile.com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Advisory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Xiaoyan Su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Xiaoyan.Su@christensencomms.com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RMB6.8980 to US$1.00, the exchange rate set forth in the H.10 statistical release of the Board of Governors of the Federal Reserve System as of March 31,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March 31, 2025</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3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19"/>
                <w:szCs w:val="19"/>
                <w:color w:val="auto"/>
              </w:rPr>
            </w:pPr>
          </w:p>
        </w:tc>
      </w:tr>
      <w:tr>
        <w:trPr>
          <w:trHeight w:val="209"/>
        </w:trPr>
        <w:tc>
          <w:tcPr>
            <w:tcW w:w="6020" w:type="dxa"/>
            <w:vAlign w:val="bottom"/>
          </w:tcPr>
          <w:p>
            <w:pPr>
              <w:spacing w:after="0"/>
              <w:rPr>
                <w:sz w:val="18"/>
                <w:szCs w:val="18"/>
                <w:color w:val="auto"/>
              </w:rPr>
            </w:pPr>
          </w:p>
        </w:tc>
        <w:tc>
          <w:tcPr>
            <w:tcW w:w="1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1220" w:type="dxa"/>
            <w:vAlign w:val="bottom"/>
            <w:tcBorders>
              <w:top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RMB</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88,961</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105,154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93,284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13,523</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(30,117)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(27,007)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(3,915)</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58,844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69,666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66,277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1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r>
      <w:tr>
        <w:trPr>
          <w:trHeight w:val="209"/>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from fair value change</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3,609</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Borders>
              <w:bottom w:val="single" w:sz="8" w:color="CCEEFF"/>
            </w:tcBorders>
          </w:tcPr>
          <w:p>
            <w:pPr>
              <w:spacing w:after="0"/>
              <w:rPr>
                <w:sz w:val="18"/>
                <w:szCs w:val="18"/>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(expenses)/benefits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Borders>
              <w:bottom w:val="single" w:sz="8" w:color="CCEEFF"/>
            </w:tcBorders>
          </w:tcPr>
          <w:p>
            <w:pPr>
              <w:spacing w:after="0"/>
              <w:rPr>
                <w:sz w:val="18"/>
                <w:szCs w:val="18"/>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r>
      <w:tr>
        <w:trPr>
          <w:trHeight w:val="28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Aurora Mobile Limited’s shareholders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(2,552)</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3,009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1,019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(loss)/income per share, for Class A and Class B common shares:</w:t>
            </w: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Class A and B Common Shares - basic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and B Common Shares - diluted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net (loss)/income per share computation: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Shares - basic</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63,254,710</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63,255,984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62,620,381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62,620,381</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Shares - basic</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Shares - diluted</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63,254,710</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63,255,984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66,868,866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66,868,866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Shares - diluted</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17,000,189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9" w:lineRule="exact"/>
        <w:rPr>
          <w:sz w:val="20"/>
          <w:szCs w:val="20"/>
          <w:color w:val="auto"/>
        </w:rPr>
      </w:pPr>
    </w:p>
    <w:p>
      <w:pPr>
        <w:ind w:right="2200"/>
        <w:spacing w:after="0" w:line="271" w:lineRule="auto"/>
        <w:rPr>
          <w:sz w:val="20"/>
          <w:szCs w:val="20"/>
          <w:color w:val="auto"/>
        </w:rPr>
      </w:pPr>
      <w:r>
        <w:rPr>
          <w:rFonts w:ascii="Times New Roman" w:cs="Times New Roman" w:eastAsia="Times New Roman" w:hAnsi="Times New Roman"/>
          <w:sz w:val="18"/>
          <w:szCs w:val="18"/>
          <w:b w:val="1"/>
          <w:bCs w:val="1"/>
          <w:color w:val="auto"/>
        </w:rPr>
        <w:t>Total other comprehensive loss, net of tax Total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Comprehensive (loss)/income attributable to Aurora Mobile Limited’s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9"/>
        </w:trPr>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8"/>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7"/>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(2,634)</w:t>
            </w: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80" w:space="640"/>
            <w:col w:w="5220"/>
          </w:cols>
          <w:pgMar w:left="320" w:top="900"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231,963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203,153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111,993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184,202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181,965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6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416,165</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385,118</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178,650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173,907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80,939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8,797</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274,742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13,765</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316,740</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287,696</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(6,430)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1,049,029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1,049,626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152,164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(995,292)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(994,273)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(144,139)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Aurora Mobile Limited’s shareholders’ equity</w:t>
            </w:r>
          </w:p>
        </w:tc>
        <w:tc>
          <w:tcPr>
            <w:tcW w:w="20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65,798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63,618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6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6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99,425</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97,422</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416,165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385,118</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55,830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6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March 31, 2025</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26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(Loss)/Income to Adjusted Net (Loss)/Income: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(1,608)</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407</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(Loss)/Income to Adjusted EBITDA:</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3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(1,608)</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expenses/(benefits)</w:t>
            </w: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336</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1,019</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407</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SAAS BUSINESSES REVENUE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March 31, 2025</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December 31, 2025</w:t>
            </w:r>
          </w:p>
        </w:tc>
        <w:tc>
          <w:tcPr>
            <w:tcW w:w="19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March 31, 2026</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5240" w:type="dxa"/>
            <w:vAlign w:val="bottom"/>
          </w:tcPr>
          <w:p>
            <w:pPr>
              <w:spacing w:after="0"/>
              <w:rPr>
                <w:sz w:val="18"/>
                <w:szCs w:val="18"/>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RMB</w:t>
            </w:r>
          </w:p>
        </w:tc>
        <w:tc>
          <w:tcPr>
            <w:tcW w:w="280" w:type="dxa"/>
            <w:vAlign w:val="bottom"/>
          </w:tcPr>
          <w:p>
            <w:pPr>
              <w:spacing w:after="0"/>
              <w:rPr>
                <w:sz w:val="18"/>
                <w:szCs w:val="18"/>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8"/>
                <w:szCs w:val="18"/>
                <w:color w:val="auto"/>
              </w:rPr>
            </w:pPr>
          </w:p>
        </w:tc>
        <w:tc>
          <w:tcPr>
            <w:tcW w:w="192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RMB</w:t>
            </w:r>
          </w:p>
        </w:tc>
        <w:tc>
          <w:tcPr>
            <w:tcW w:w="7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3"/>
              </w:rPr>
              <w:t>US$</w:t>
            </w:r>
          </w:p>
        </w:tc>
        <w:tc>
          <w:tcPr>
            <w:tcW w:w="160" w:type="dxa"/>
            <w:vAlign w:val="bottom"/>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Developer Services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62,322</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76,105</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71,629</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10,384</w:t>
            </w:r>
          </w:p>
        </w:tc>
      </w:tr>
      <w:tr>
        <w:trPr>
          <w:trHeight w:val="20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53,467</w:t>
            </w:r>
          </w:p>
        </w:tc>
        <w:tc>
          <w:tcPr>
            <w:tcW w:w="2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61,882</w:t>
            </w:r>
          </w:p>
        </w:tc>
        <w:tc>
          <w:tcPr>
            <w:tcW w:w="2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64,894</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Value-Added Services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8,855</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14,223</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6,735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Vertical Applications</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26,639</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29,049</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21,655</w:t>
            </w:r>
          </w:p>
        </w:tc>
        <w:tc>
          <w:tcPr>
            <w:tcW w:w="4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3,139</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88,961</w:t>
            </w:r>
          </w:p>
        </w:tc>
        <w:tc>
          <w:tcPr>
            <w:tcW w:w="2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105,154</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93,284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r>
      <w:tr>
        <w:trPr>
          <w:trHeight w:val="648"/>
        </w:trPr>
        <w:tc>
          <w:tcPr>
            <w:tcW w:w="5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2026-05-27T05:18:50Z</dcterms:created>
  <dcterms:modified xsi:type="dcterms:W3CDTF">2026-05-27T05:18:50Z</dcterms:modified>
</cp:coreProperties>
</file>